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2"/>
        <w:ind w:left="0"/>
        <w:rPr>
          <w:rFonts w:ascii="Times New Roman"/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83904">
                <wp:simplePos x="0" y="0"/>
                <wp:positionH relativeFrom="page">
                  <wp:posOffset>848486</wp:posOffset>
                </wp:positionH>
                <wp:positionV relativeFrom="paragraph">
                  <wp:posOffset>-4455423</wp:posOffset>
                </wp:positionV>
                <wp:extent cx="607187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39615"/>
                          <a:chExt cx="607187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NEW Amy Abdo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77179" y="763308"/>
                            <a:ext cx="136588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AMY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ABDO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602.916.5399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602.916.5599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amy@fennemorelaw.com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35508" y="3482163"/>
                            <a:ext cx="341693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approach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every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high-stakes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case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steadfast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confidence,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deliberate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strategy,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unwavering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integrity,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advocating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outcomes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truly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matter.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0.820709pt;width:478.1pt;height:357.45pt;mso-position-horizontal-relative:page;mso-position-vertical-relative:paragraph;z-index:-15832576" id="docshapegroup1" coordorigin="1336,-7016" coordsize="9562,7149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017;width:2165;height:424" type="#_x0000_t75" id="docshape3" alt="Fennemore" href="https://www.fennemorelaw.com/" stroked="false">
                  <v:imagedata r:id="rId5" o:title=""/>
                </v:shape>
                <v:shape style="position:absolute;left:1336;top:-6594;width:4785;height:4126" type="#_x0000_t75" id="docshape4" alt="NEW Amy Abdo bio" stroked="false">
                  <v:imagedata r:id="rId7" o:title=""/>
                </v:shape>
                <v:rect style="position:absolute;left:6121;top:-6594;width:4777;height:4126" id="docshape5" filled="true" fillcolor="#262424" stroked="false">
                  <v:fill type="solid"/>
                </v:rect>
                <v:shape style="position:absolute;left:7113;top:-4860;width:2784;height:505" id="docshape6" coordorigin="7114,-4860" coordsize="2784,505" path="m9897,-4364l7114,-4364,7114,-4355,9897,-4355,9897,-4364xm9897,-4860l7114,-4860,7114,-4852,9897,-4852,9897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42;top:-5815;width:2151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AMY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ABDO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4088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602.916.5399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602.916.5599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amy@fennemorelaw.com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39;top:-1533;width:5381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approach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every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high-stakes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case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steadfast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confidence,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deliberate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strategy,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unwavering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integrity,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advocating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outcomes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truly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matter.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AMY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4"/>
          <w:sz w:val="24"/>
        </w:rPr>
        <w:t>ABDO</w:t>
      </w:r>
    </w:p>
    <w:p>
      <w:pPr>
        <w:pStyle w:val="BodyText"/>
        <w:spacing w:line="302" w:lineRule="auto" w:before="146"/>
        <w:ind w:right="175"/>
        <w:jc w:val="both"/>
      </w:pPr>
      <w:r>
        <w:rPr>
          <w:color w:val="6E6158"/>
        </w:rPr>
        <w:t>Amy Abdo is widely recognized as a highly accomplished litigator who represents clients in high-stakes,</w:t>
      </w:r>
      <w:r>
        <w:rPr>
          <w:color w:val="6E6158"/>
          <w:spacing w:val="35"/>
        </w:rPr>
        <w:t> </w:t>
      </w:r>
      <w:r>
        <w:rPr>
          <w:color w:val="6E6158"/>
        </w:rPr>
        <w:t>complex</w:t>
      </w:r>
      <w:r>
        <w:rPr>
          <w:color w:val="6E6158"/>
          <w:spacing w:val="35"/>
        </w:rPr>
        <w:t> </w:t>
      </w:r>
      <w:r>
        <w:rPr>
          <w:color w:val="6E6158"/>
        </w:rPr>
        <w:t>disputes.</w:t>
      </w:r>
      <w:r>
        <w:rPr>
          <w:color w:val="6E6158"/>
          <w:spacing w:val="35"/>
        </w:rPr>
        <w:t> </w:t>
      </w:r>
      <w:r>
        <w:rPr>
          <w:color w:val="6E6158"/>
        </w:rPr>
        <w:t>Drawing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substantial</w:t>
      </w:r>
      <w:r>
        <w:rPr>
          <w:color w:val="6E6158"/>
          <w:spacing w:val="35"/>
        </w:rPr>
        <w:t> </w:t>
      </w:r>
      <w:r>
        <w:rPr>
          <w:color w:val="6E6158"/>
        </w:rPr>
        <w:t>courtroom</w:t>
      </w:r>
      <w:r>
        <w:rPr>
          <w:color w:val="6E6158"/>
          <w:spacing w:val="35"/>
        </w:rPr>
        <w:t> </w:t>
      </w:r>
      <w:r>
        <w:rPr>
          <w:color w:val="6E6158"/>
        </w:rPr>
        <w:t>experience,</w:t>
      </w:r>
      <w:r>
        <w:rPr>
          <w:color w:val="6E6158"/>
          <w:spacing w:val="35"/>
        </w:rPr>
        <w:t> </w:t>
      </w:r>
      <w:r>
        <w:rPr>
          <w:color w:val="6E6158"/>
        </w:rPr>
        <w:t>she</w:t>
      </w:r>
      <w:r>
        <w:rPr>
          <w:color w:val="6E6158"/>
          <w:spacing w:val="35"/>
        </w:rPr>
        <w:t> </w:t>
      </w:r>
      <w:r>
        <w:rPr>
          <w:color w:val="6E6158"/>
        </w:rPr>
        <w:t>brings</w:t>
      </w:r>
      <w:r>
        <w:rPr>
          <w:color w:val="6E6158"/>
          <w:spacing w:val="35"/>
        </w:rPr>
        <w:t> </w:t>
      </w:r>
      <w:r>
        <w:rPr>
          <w:color w:val="6E6158"/>
        </w:rPr>
        <w:t>a</w:t>
      </w:r>
      <w:r>
        <w:rPr>
          <w:color w:val="6E6158"/>
          <w:spacing w:val="35"/>
        </w:rPr>
        <w:t> </w:t>
      </w:r>
      <w:r>
        <w:rPr>
          <w:color w:val="6E6158"/>
        </w:rPr>
        <w:t>results-</w:t>
      </w:r>
    </w:p>
    <w:p>
      <w:pPr>
        <w:pStyle w:val="BodyText"/>
        <w:spacing w:line="297" w:lineRule="auto"/>
        <w:ind w:right="309"/>
        <w:jc w:val="both"/>
      </w:pPr>
      <w:r>
        <w:rPr>
          <w:color w:val="6E6158"/>
        </w:rPr>
        <w:t>driven, strategic approach to every matter. Pragmatic, organized, and efficient, Amy is known</w:t>
      </w:r>
      <w:r>
        <w:rPr>
          <w:color w:val="6E6158"/>
          <w:spacing w:val="40"/>
        </w:rPr>
        <w:t> </w:t>
      </w:r>
      <w:r>
        <w:rPr>
          <w:color w:val="6E6158"/>
        </w:rPr>
        <w:t>for her tenacity and resilience, earning a reputation as a formidable adversary in sophisticated </w:t>
      </w:r>
      <w:r>
        <w:rPr>
          <w:color w:val="6E6158"/>
          <w:spacing w:val="-2"/>
        </w:rPr>
        <w:t>litigation.</w:t>
      </w:r>
    </w:p>
    <w:p>
      <w:pPr>
        <w:pStyle w:val="BodyText"/>
        <w:spacing w:line="292" w:lineRule="auto" w:before="182"/>
        <w:ind w:right="348"/>
      </w:pPr>
      <w:r>
        <w:rPr>
          <w:color w:val="6E6158"/>
        </w:rPr>
        <w:t>Amy represents leading law firms and attorneys in the defense of professional liability claims. She</w:t>
      </w:r>
      <w:r>
        <w:rPr>
          <w:color w:val="6E6158"/>
          <w:spacing w:val="40"/>
        </w:rPr>
        <w:t> </w:t>
      </w:r>
      <w:r>
        <w:rPr>
          <w:color w:val="6E6158"/>
        </w:rPr>
        <w:t>also advises and defends businesses in complex commercial disputes and frequently litigates</w:t>
      </w:r>
      <w:r>
        <w:rPr>
          <w:color w:val="6E6158"/>
          <w:spacing w:val="40"/>
        </w:rPr>
        <w:t> </w:t>
      </w:r>
      <w:r>
        <w:rPr>
          <w:color w:val="6E6158"/>
        </w:rPr>
        <w:t>covenants</w:t>
      </w:r>
      <w:r>
        <w:rPr>
          <w:color w:val="6E6158"/>
          <w:spacing w:val="35"/>
        </w:rPr>
        <w:t> </w:t>
      </w:r>
      <w:r>
        <w:rPr>
          <w:color w:val="6E6158"/>
        </w:rPr>
        <w:t>not</w:t>
      </w:r>
      <w:r>
        <w:rPr>
          <w:color w:val="6E6158"/>
          <w:spacing w:val="35"/>
        </w:rPr>
        <w:t> </w:t>
      </w:r>
      <w:r>
        <w:rPr>
          <w:color w:val="6E6158"/>
        </w:rPr>
        <w:t>to</w:t>
      </w:r>
      <w:r>
        <w:rPr>
          <w:color w:val="6E6158"/>
          <w:spacing w:val="35"/>
        </w:rPr>
        <w:t> </w:t>
      </w:r>
      <w:r>
        <w:rPr>
          <w:color w:val="6E6158"/>
        </w:rPr>
        <w:t>compete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other</w:t>
      </w:r>
      <w:r>
        <w:rPr>
          <w:color w:val="6E6158"/>
          <w:spacing w:val="35"/>
        </w:rPr>
        <w:t> </w:t>
      </w:r>
      <w:r>
        <w:rPr>
          <w:color w:val="6E6158"/>
        </w:rPr>
        <w:t>restrictive</w:t>
      </w:r>
      <w:r>
        <w:rPr>
          <w:color w:val="6E6158"/>
          <w:spacing w:val="35"/>
        </w:rPr>
        <w:t> </w:t>
      </w:r>
      <w:r>
        <w:rPr>
          <w:color w:val="6E6158"/>
        </w:rPr>
        <w:t>covenants,</w:t>
      </w:r>
      <w:r>
        <w:rPr>
          <w:color w:val="6E6158"/>
          <w:spacing w:val="35"/>
        </w:rPr>
        <w:t> </w:t>
      </w:r>
      <w:r>
        <w:rPr>
          <w:color w:val="6E6158"/>
        </w:rPr>
        <w:t>often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expedited</w:t>
      </w:r>
      <w:r>
        <w:rPr>
          <w:color w:val="6E6158"/>
          <w:spacing w:val="35"/>
        </w:rPr>
        <w:t> </w:t>
      </w:r>
      <w:r>
        <w:rPr>
          <w:color w:val="6E6158"/>
        </w:rPr>
        <w:t>evidentiary</w:t>
      </w:r>
    </w:p>
    <w:p>
      <w:pPr>
        <w:pStyle w:val="BodyText"/>
        <w:spacing w:line="292" w:lineRule="auto" w:before="10"/>
        <w:ind w:right="680"/>
      </w:pPr>
      <w:r>
        <w:rPr>
          <w:color w:val="6E6158"/>
        </w:rPr>
        <w:t>proceedings. She defends employers against claims involving discrimination, harassment,</w:t>
      </w:r>
      <w:r>
        <w:rPr>
          <w:color w:val="6E6158"/>
          <w:spacing w:val="40"/>
        </w:rPr>
        <w:t> </w:t>
      </w:r>
      <w:r>
        <w:rPr>
          <w:color w:val="6E6158"/>
        </w:rPr>
        <w:t>breach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contract,</w:t>
      </w:r>
      <w:r>
        <w:rPr>
          <w:color w:val="6E6158"/>
          <w:spacing w:val="14"/>
        </w:rPr>
        <w:t> </w:t>
      </w:r>
      <w:r>
        <w:rPr>
          <w:color w:val="6E6158"/>
        </w:rPr>
        <w:t>wrongful</w:t>
      </w:r>
      <w:r>
        <w:rPr>
          <w:color w:val="6E6158"/>
          <w:spacing w:val="15"/>
        </w:rPr>
        <w:t> </w:t>
      </w:r>
      <w:r>
        <w:rPr>
          <w:color w:val="6E6158"/>
        </w:rPr>
        <w:t>discharge,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other</w:t>
      </w:r>
      <w:r>
        <w:rPr>
          <w:color w:val="6E6158"/>
          <w:spacing w:val="15"/>
        </w:rPr>
        <w:t> </w:t>
      </w:r>
      <w:r>
        <w:rPr>
          <w:color w:val="6E6158"/>
        </w:rPr>
        <w:t>employment-related</w:t>
      </w:r>
      <w:r>
        <w:rPr>
          <w:color w:val="6E6158"/>
          <w:spacing w:val="14"/>
        </w:rPr>
        <w:t> </w:t>
      </w:r>
      <w:r>
        <w:rPr>
          <w:color w:val="6E6158"/>
        </w:rPr>
        <w:t>tort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contract</w:t>
      </w:r>
    </w:p>
    <w:p>
      <w:pPr>
        <w:pStyle w:val="BodyText"/>
        <w:spacing w:line="292" w:lineRule="auto" w:before="1"/>
        <w:ind w:right="201"/>
      </w:pPr>
      <w:r>
        <w:rPr>
          <w:color w:val="6E6158"/>
        </w:rPr>
        <w:t>matters. Amy regularly conducts workplace investigations and counsels employers on a </w:t>
      </w:r>
      <w:r>
        <w:rPr>
          <w:color w:val="6E6158"/>
        </w:rPr>
        <w:t>wide</w:t>
      </w:r>
      <w:r>
        <w:rPr>
          <w:color w:val="6E6158"/>
          <w:spacing w:val="40"/>
        </w:rPr>
        <w:t> </w:t>
      </w:r>
      <w:r>
        <w:rPr>
          <w:color w:val="6E6158"/>
        </w:rPr>
        <w:t>range of workplace issues.</w:t>
      </w:r>
    </w:p>
    <w:p>
      <w:pPr>
        <w:pStyle w:val="BodyText"/>
        <w:spacing w:line="292" w:lineRule="auto" w:before="205"/>
        <w:ind w:right="201"/>
      </w:pPr>
      <w:r>
        <w:rPr>
          <w:color w:val="6E6158"/>
        </w:rPr>
        <w:t>Adept at leading legal teams, Amy has broad experience across business litigation, </w:t>
      </w:r>
      <w:r>
        <w:rPr>
          <w:color w:val="6E6158"/>
        </w:rPr>
        <w:t>professional</w:t>
      </w:r>
      <w:r>
        <w:rPr>
          <w:color w:val="6E6158"/>
          <w:spacing w:val="40"/>
        </w:rPr>
        <w:t> </w:t>
      </w:r>
      <w:r>
        <w:rPr>
          <w:color w:val="6E6158"/>
        </w:rPr>
        <w:t>liability defense, employment law, and public records law. She is also a skilled negotiator, often</w:t>
      </w:r>
      <w:r>
        <w:rPr>
          <w:color w:val="6E6158"/>
          <w:spacing w:val="40"/>
        </w:rPr>
        <w:t> </w:t>
      </w:r>
      <w:r>
        <w:rPr>
          <w:color w:val="6E6158"/>
        </w:rPr>
        <w:t>achieving favorable resolutions in the most contentious matters.</w:t>
      </w:r>
    </w:p>
    <w:p>
      <w:pPr>
        <w:pStyle w:val="BodyText"/>
        <w:spacing w:line="297" w:lineRule="auto" w:before="197"/>
        <w:ind w:right="348"/>
      </w:pPr>
      <w:r>
        <w:rPr>
          <w:color w:val="6E6158"/>
        </w:rPr>
        <w:t>Amy is licensed to practice in Arizona, Nevada, and California and is experienced in numerous</w:t>
      </w:r>
      <w:r>
        <w:rPr>
          <w:color w:val="6E6158"/>
          <w:spacing w:val="40"/>
        </w:rPr>
        <w:t> </w:t>
      </w:r>
      <w:r>
        <w:rPr>
          <w:color w:val="6E6158"/>
        </w:rPr>
        <w:t>states in all phases of litigation, including bench and jury trials, arbitration, mediation, administrative proceedings, and investigations.</w:t>
      </w:r>
    </w:p>
    <w:p>
      <w:pPr>
        <w:pStyle w:val="BodyText"/>
        <w:spacing w:line="302" w:lineRule="auto" w:before="191"/>
        <w:ind w:right="348"/>
      </w:pPr>
      <w:r>
        <w:rPr>
          <w:color w:val="6E6158"/>
        </w:rPr>
        <w:t>A natural leader, she has served on the firm’s management committee, </w:t>
      </w:r>
      <w:r>
        <w:rPr>
          <w:color w:val="6E6158"/>
        </w:rPr>
        <w:t>compensation committee, and as litigation section chair.</w:t>
      </w:r>
    </w:p>
    <w:p>
      <w:pPr>
        <w:pStyle w:val="Heading2"/>
        <w:spacing w:before="152"/>
      </w:pPr>
      <w:r>
        <w:rPr>
          <w:color w:val="FF8100"/>
          <w:spacing w:val="-2"/>
        </w:rPr>
        <w:t>EDUCATION</w:t>
      </w:r>
    </w:p>
    <w:p>
      <w:pPr>
        <w:pStyle w:val="Heading2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J.D.,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San</w:t>
      </w:r>
      <w:r>
        <w:rPr>
          <w:color w:val="6E6158"/>
          <w:spacing w:val="10"/>
        </w:rPr>
        <w:t> </w:t>
      </w:r>
      <w:r>
        <w:rPr>
          <w:color w:val="6E6158"/>
        </w:rPr>
        <w:t>Diego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</w:pPr>
      <w:r>
        <w:rPr>
          <w:color w:val="6E6158"/>
        </w:rPr>
        <w:t>B.S.,</w:t>
      </w:r>
      <w:r>
        <w:rPr>
          <w:color w:val="6E6158"/>
          <w:spacing w:val="11"/>
        </w:rPr>
        <w:t> </w:t>
      </w:r>
      <w:r>
        <w:rPr>
          <w:color w:val="6E6158"/>
        </w:rPr>
        <w:t>San</w:t>
      </w:r>
      <w:r>
        <w:rPr>
          <w:color w:val="6E6158"/>
          <w:spacing w:val="11"/>
        </w:rPr>
        <w:t> </w:t>
      </w:r>
      <w:r>
        <w:rPr>
          <w:color w:val="6E6158"/>
        </w:rPr>
        <w:t>Diego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University,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distinction,</w:t>
      </w:r>
    </w:p>
    <w:p>
      <w:pPr>
        <w:pStyle w:val="BodyText"/>
        <w:spacing w:before="182"/>
      </w:pPr>
      <w:r>
        <w:rPr>
          <w:color w:val="6E6158"/>
        </w:rPr>
        <w:t>Former</w:t>
      </w:r>
      <w:r>
        <w:rPr>
          <w:color w:val="6E6158"/>
          <w:spacing w:val="13"/>
        </w:rPr>
        <w:t> </w:t>
      </w:r>
      <w:r>
        <w:rPr>
          <w:color w:val="6E6158"/>
        </w:rPr>
        <w:t>Judicial</w:t>
      </w:r>
      <w:r>
        <w:rPr>
          <w:color w:val="6E6158"/>
          <w:spacing w:val="13"/>
        </w:rPr>
        <w:t> </w:t>
      </w:r>
      <w:r>
        <w:rPr>
          <w:color w:val="6E6158"/>
        </w:rPr>
        <w:t>Extern,</w:t>
      </w:r>
      <w:r>
        <w:rPr>
          <w:color w:val="6E6158"/>
          <w:spacing w:val="13"/>
        </w:rPr>
        <w:t> </w:t>
      </w:r>
      <w:r>
        <w:rPr>
          <w:color w:val="6E6158"/>
        </w:rPr>
        <w:t>Court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Appeals,</w:t>
      </w:r>
      <w:r>
        <w:rPr>
          <w:color w:val="6E6158"/>
          <w:spacing w:val="13"/>
        </w:rPr>
        <w:t> </w:t>
      </w:r>
      <w:r>
        <w:rPr>
          <w:color w:val="6E6158"/>
        </w:rPr>
        <w:t>Fourth</w:t>
      </w:r>
      <w:r>
        <w:rPr>
          <w:color w:val="6E6158"/>
          <w:spacing w:val="13"/>
        </w:rPr>
        <w:t> </w:t>
      </w:r>
      <w:r>
        <w:rPr>
          <w:color w:val="6E6158"/>
        </w:rPr>
        <w:t>Appellate</w:t>
      </w:r>
      <w:r>
        <w:rPr>
          <w:color w:val="6E6158"/>
          <w:spacing w:val="13"/>
        </w:rPr>
        <w:t> </w:t>
      </w:r>
      <w:r>
        <w:rPr>
          <w:color w:val="6E6158"/>
        </w:rPr>
        <w:t>District,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63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4"/>
        <w:ind w:left="0"/>
        <w:rPr>
          <w:b/>
        </w:rPr>
      </w:pPr>
    </w:p>
    <w:p>
      <w:pPr>
        <w:pStyle w:val="BodyText"/>
        <w:jc w:val="both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Torts</w:t>
      </w:r>
    </w:p>
    <w:p>
      <w:pPr>
        <w:pStyle w:val="BodyText"/>
        <w:spacing w:line="420" w:lineRule="auto" w:before="182"/>
        <w:ind w:right="5829"/>
        <w:jc w:val="both"/>
      </w:pPr>
      <w:r>
        <w:rPr>
          <w:color w:val="6E6158"/>
        </w:rPr>
        <w:t>Commercial Contingency Litigation E-Discovery and Data </w:t>
      </w:r>
      <w:r>
        <w:rPr>
          <w:color w:val="6E6158"/>
        </w:rPr>
        <w:t>Management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6"/>
        <w:jc w:val="both"/>
      </w:pPr>
      <w:r>
        <w:rPr>
          <w:color w:val="6E6158"/>
        </w:rPr>
        <w:t>Public</w:t>
      </w:r>
      <w:r>
        <w:rPr>
          <w:color w:val="6E6158"/>
          <w:spacing w:val="13"/>
        </w:rPr>
        <w:t> </w:t>
      </w:r>
      <w:r>
        <w:rPr>
          <w:color w:val="6E6158"/>
        </w:rPr>
        <w:t>Records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3"/>
        <w:jc w:val="both"/>
      </w:pPr>
      <w:r>
        <w:rPr>
          <w:color w:val="6E6158"/>
        </w:rPr>
        <w:t>Tort</w:t>
      </w:r>
      <w:r>
        <w:rPr>
          <w:color w:val="6E6158"/>
          <w:spacing w:val="6"/>
        </w:rPr>
        <w:t> </w:t>
      </w:r>
      <w:r>
        <w:rPr>
          <w:color w:val="6E6158"/>
        </w:rPr>
        <w:t>and</w:t>
      </w:r>
      <w:r>
        <w:rPr>
          <w:color w:val="6E6158"/>
          <w:spacing w:val="8"/>
        </w:rPr>
        <w:t> </w:t>
      </w:r>
      <w:r>
        <w:rPr>
          <w:color w:val="6E6158"/>
        </w:rPr>
        <w:t>Insurance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7"/>
        <w:ind w:left="0"/>
      </w:pPr>
    </w:p>
    <w:p>
      <w:pPr>
        <w:pStyle w:val="BodyText"/>
        <w:spacing w:line="422" w:lineRule="auto" w:before="1"/>
        <w:ind w:right="6963"/>
      </w:pPr>
      <w:r>
        <w:rPr>
          <w:color w:val="6E6158"/>
        </w:rPr>
        <w:t>Business Litigation Professional Liability Labor &amp; </w:t>
      </w:r>
      <w:r>
        <w:rPr>
          <w:color w:val="6E6158"/>
        </w:rPr>
        <w:t>Employment</w:t>
      </w:r>
    </w:p>
    <w:p>
      <w:pPr>
        <w:pStyle w:val="Heading2"/>
        <w:spacing w:before="28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7"/>
        <w:ind w:left="0"/>
        <w:rPr>
          <w:b/>
        </w:rPr>
      </w:pPr>
    </w:p>
    <w:p>
      <w:pPr>
        <w:spacing w:line="285" w:lineRule="auto" w:before="0"/>
        <w:ind w:left="99" w:right="365" w:firstLine="0"/>
        <w:jc w:val="both"/>
        <w:rPr>
          <w:sz w:val="19"/>
        </w:rPr>
      </w:pPr>
      <w:r>
        <w:rPr>
          <w:color w:val="6E6158"/>
          <w:sz w:val="19"/>
        </w:rPr>
        <w:t>Published Opinions: McAlister v. Loeb &amp; Loeb, L.L.P., 571 P.3d 891 (Ariz. 2025) (lost profits in legal malpractice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case);</w:t>
      </w:r>
      <w:r>
        <w:rPr>
          <w:color w:val="6E6158"/>
          <w:spacing w:val="-4"/>
          <w:sz w:val="19"/>
        </w:rPr>
        <w:t> </w:t>
      </w:r>
      <w:r>
        <w:rPr>
          <w:i/>
          <w:color w:val="6E6158"/>
          <w:sz w:val="20"/>
        </w:rPr>
        <w:t>Malcolm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Farmers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New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World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Life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Insurance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Company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(1992)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4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App. 4th 296 (life insurance case); and </w:t>
      </w:r>
      <w:r>
        <w:rPr>
          <w:i/>
          <w:color w:val="6E6158"/>
          <w:sz w:val="20"/>
        </w:rPr>
        <w:t>Smith v. Superior Court </w:t>
      </w:r>
      <w:r>
        <w:rPr>
          <w:color w:val="6E6158"/>
          <w:sz w:val="19"/>
        </w:rPr>
        <w:t>(1993) 10 Cal. App. 4th 1033 (legal</w:t>
      </w:r>
    </w:p>
    <w:p>
      <w:pPr>
        <w:pStyle w:val="BodyText"/>
        <w:spacing w:before="2"/>
      </w:pPr>
      <w:r>
        <w:rPr>
          <w:color w:val="6E6158"/>
          <w:spacing w:val="-2"/>
        </w:rPr>
        <w:t>malpractice).</w:t>
      </w:r>
    </w:p>
    <w:p>
      <w:pPr>
        <w:pStyle w:val="BodyText"/>
        <w:spacing w:line="297" w:lineRule="auto" w:before="174"/>
        <w:ind w:right="274"/>
        <w:jc w:val="both"/>
      </w:pPr>
      <w:r>
        <w:rPr>
          <w:color w:val="6E6158"/>
        </w:rPr>
        <w:t>Secured dismissal of more than a dozen claims, including fraud, interference, abuse of process, breach of fiduciary duty, filed by a third party against a law firm, seeking over a billion dollars in damages (District Court – Clark County, Nevada).</w:t>
      </w:r>
    </w:p>
    <w:p>
      <w:pPr>
        <w:pStyle w:val="BodyText"/>
        <w:spacing w:line="292" w:lineRule="auto" w:before="118"/>
        <w:ind w:right="348"/>
      </w:pPr>
      <w:r>
        <w:rPr>
          <w:color w:val="6E6158"/>
        </w:rPr>
        <w:t>Secured defense verdict on legal malpractice claims, and a seven-figure award of attorneys’</w:t>
      </w:r>
      <w:r>
        <w:rPr>
          <w:color w:val="6E6158"/>
          <w:spacing w:val="40"/>
        </w:rPr>
        <w:t> </w:t>
      </w:r>
      <w:r>
        <w:rPr>
          <w:color w:val="6E6158"/>
        </w:rPr>
        <w:t>fees</w:t>
      </w:r>
      <w:r>
        <w:rPr>
          <w:color w:val="6E6158"/>
          <w:spacing w:val="31"/>
        </w:rPr>
        <w:t> </w:t>
      </w:r>
      <w:r>
        <w:rPr>
          <w:color w:val="6E6158"/>
        </w:rPr>
        <w:t>on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counterclaim,</w:t>
      </w:r>
      <w:r>
        <w:rPr>
          <w:color w:val="6E6158"/>
          <w:spacing w:val="31"/>
        </w:rPr>
        <w:t> </w:t>
      </w:r>
      <w:r>
        <w:rPr>
          <w:color w:val="6E6158"/>
        </w:rPr>
        <w:t>following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12-day</w:t>
      </w:r>
      <w:r>
        <w:rPr>
          <w:color w:val="6E6158"/>
          <w:spacing w:val="31"/>
        </w:rPr>
        <w:t> </w:t>
      </w:r>
      <w:r>
        <w:rPr>
          <w:color w:val="6E6158"/>
        </w:rPr>
        <w:t>jury</w:t>
      </w:r>
      <w:r>
        <w:rPr>
          <w:color w:val="6E6158"/>
          <w:spacing w:val="31"/>
        </w:rPr>
        <w:t> </w:t>
      </w:r>
      <w:r>
        <w:rPr>
          <w:color w:val="6E6158"/>
        </w:rPr>
        <w:t>trial</w:t>
      </w:r>
      <w:r>
        <w:rPr>
          <w:color w:val="6E6158"/>
          <w:spacing w:val="31"/>
        </w:rPr>
        <w:t> </w:t>
      </w:r>
      <w:r>
        <w:rPr>
          <w:color w:val="6E6158"/>
        </w:rPr>
        <w:t>(Maricopa</w:t>
      </w:r>
      <w:r>
        <w:rPr>
          <w:color w:val="6E6158"/>
          <w:spacing w:val="31"/>
        </w:rPr>
        <w:t> </w:t>
      </w:r>
      <w:r>
        <w:rPr>
          <w:color w:val="6E6158"/>
        </w:rPr>
        <w:t>County</w:t>
      </w:r>
      <w:r>
        <w:rPr>
          <w:color w:val="6E6158"/>
          <w:spacing w:val="31"/>
        </w:rPr>
        <w:t> </w:t>
      </w:r>
      <w:r>
        <w:rPr>
          <w:color w:val="6E6158"/>
        </w:rPr>
        <w:t>Superior</w:t>
      </w:r>
      <w:r>
        <w:rPr>
          <w:color w:val="6E6158"/>
          <w:spacing w:val="31"/>
        </w:rPr>
        <w:t> </w:t>
      </w:r>
      <w:r>
        <w:rPr>
          <w:color w:val="6E6158"/>
        </w:rPr>
        <w:t>Court).</w:t>
      </w:r>
    </w:p>
    <w:p>
      <w:pPr>
        <w:pStyle w:val="BodyText"/>
        <w:spacing w:line="292" w:lineRule="auto" w:before="132"/>
        <w:ind w:right="201"/>
      </w:pPr>
      <w:r>
        <w:rPr>
          <w:color w:val="6E6158"/>
        </w:rPr>
        <w:t>Secured judgment in favor of private entity prohibiting production of records under Arizona’s</w:t>
      </w:r>
      <w:r>
        <w:rPr>
          <w:color w:val="6E6158"/>
          <w:spacing w:val="40"/>
        </w:rPr>
        <w:t> </w:t>
      </w:r>
      <w:r>
        <w:rPr>
          <w:color w:val="6E6158"/>
        </w:rPr>
        <w:t>public records laws.</w:t>
      </w:r>
    </w:p>
    <w:p>
      <w:pPr>
        <w:pStyle w:val="BodyText"/>
        <w:spacing w:line="292" w:lineRule="auto" w:before="123"/>
        <w:ind w:right="348"/>
      </w:pPr>
      <w:r>
        <w:rPr>
          <w:color w:val="6E6158"/>
        </w:rPr>
        <w:t>Bench trial to enforce restrictive covenants, settled mid-trial, for over $2.5 million in favor of client</w:t>
      </w:r>
      <w:r>
        <w:rPr>
          <w:color w:val="6E6158"/>
          <w:spacing w:val="40"/>
        </w:rPr>
        <w:t> </w:t>
      </w:r>
      <w:r>
        <w:rPr>
          <w:color w:val="6E6158"/>
        </w:rPr>
        <w:t>(U.S. District Court – Nevada).</w:t>
      </w:r>
    </w:p>
    <w:p>
      <w:pPr>
        <w:pStyle w:val="BodyText"/>
        <w:spacing w:line="292" w:lineRule="auto" w:before="131"/>
        <w:ind w:right="348"/>
      </w:pPr>
      <w:r>
        <w:rPr>
          <w:color w:val="6E6158"/>
        </w:rPr>
        <w:t>Two-week jury trial on claims for sexual harassment, discrimination, wrongful termination,</w:t>
      </w:r>
      <w:r>
        <w:rPr>
          <w:color w:val="6E6158"/>
          <w:spacing w:val="40"/>
        </w:rPr>
        <w:t> </w:t>
      </w:r>
      <w:r>
        <w:rPr>
          <w:color w:val="6E6158"/>
        </w:rPr>
        <w:t>retaliation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interference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contract</w:t>
      </w:r>
      <w:r>
        <w:rPr>
          <w:color w:val="6E6158"/>
          <w:spacing w:val="12"/>
        </w:rPr>
        <w:t> </w:t>
      </w:r>
      <w:r>
        <w:rPr>
          <w:color w:val="6E6158"/>
        </w:rPr>
        <w:t>(U.S.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2"/>
        </w:rPr>
        <w:t> </w:t>
      </w:r>
      <w:r>
        <w:rPr>
          <w:color w:val="6E6158"/>
        </w:rPr>
        <w:t>Tucson)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3"/>
        </w:rPr>
        <w:t> </w:t>
      </w:r>
      <w:r>
        <w:rPr>
          <w:color w:val="6E6158"/>
        </w:rPr>
        <w:t>defense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verdict.</w:t>
      </w:r>
    </w:p>
    <w:p>
      <w:pPr>
        <w:pStyle w:val="BodyText"/>
        <w:spacing w:line="292" w:lineRule="auto" w:before="124"/>
        <w:ind w:right="680"/>
      </w:pPr>
      <w:r>
        <w:rPr>
          <w:color w:val="6E6158"/>
        </w:rPr>
        <w:t>One-week jury trial on harassment and discrimination claims (U.S. District Court – Nevada) </w:t>
      </w:r>
      <w:r>
        <w:rPr>
          <w:color w:val="6E6158"/>
        </w:rPr>
        <w:t>–</w:t>
      </w:r>
      <w:r>
        <w:rPr>
          <w:color w:val="6E6158"/>
          <w:spacing w:val="40"/>
        </w:rPr>
        <w:t> </w:t>
      </w:r>
      <w:r>
        <w:rPr>
          <w:color w:val="6E6158"/>
        </w:rPr>
        <w:t>defense verdict.</w:t>
      </w:r>
    </w:p>
    <w:p>
      <w:pPr>
        <w:pStyle w:val="BodyText"/>
        <w:spacing w:line="292" w:lineRule="auto" w:before="131"/>
        <w:ind w:right="348"/>
      </w:pPr>
      <w:r>
        <w:rPr>
          <w:color w:val="6E6158"/>
        </w:rPr>
        <w:t>One-week jury trial on pregnancy discrimination and wrongful termination claims (U.S. </w:t>
      </w:r>
      <w:r>
        <w:rPr>
          <w:color w:val="6E6158"/>
        </w:rPr>
        <w:t>District</w:t>
      </w:r>
      <w:r>
        <w:rPr>
          <w:color w:val="6E6158"/>
          <w:spacing w:val="40"/>
        </w:rPr>
        <w:t> </w:t>
      </w:r>
      <w:r>
        <w:rPr>
          <w:color w:val="6E6158"/>
        </w:rPr>
        <w:t>Court – Phoenix) – defense verdict.</w:t>
      </w:r>
    </w:p>
    <w:p>
      <w:pPr>
        <w:pStyle w:val="BodyText"/>
        <w:spacing w:before="123"/>
      </w:pPr>
      <w:r>
        <w:rPr>
          <w:color w:val="6E6158"/>
        </w:rPr>
        <w:t>Non-suit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harassment,</w:t>
      </w:r>
      <w:r>
        <w:rPr>
          <w:color w:val="6E6158"/>
          <w:spacing w:val="13"/>
        </w:rPr>
        <w:t> </w:t>
      </w:r>
      <w:r>
        <w:rPr>
          <w:color w:val="6E6158"/>
        </w:rPr>
        <w:t>discrimination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retaliation</w:t>
      </w:r>
      <w:r>
        <w:rPr>
          <w:color w:val="6E6158"/>
          <w:spacing w:val="13"/>
        </w:rPr>
        <w:t> </w:t>
      </w:r>
      <w:r>
        <w:rPr>
          <w:color w:val="6E6158"/>
        </w:rPr>
        <w:t>claims</w:t>
      </w:r>
      <w:r>
        <w:rPr>
          <w:color w:val="6E6158"/>
          <w:spacing w:val="13"/>
        </w:rPr>
        <w:t> </w:t>
      </w:r>
      <w:r>
        <w:rPr>
          <w:color w:val="6E6158"/>
        </w:rPr>
        <w:t>(U.S.</w:t>
      </w:r>
      <w:r>
        <w:rPr>
          <w:color w:val="6E6158"/>
          <w:spacing w:val="13"/>
        </w:rPr>
        <w:t> </w:t>
      </w:r>
      <w:r>
        <w:rPr>
          <w:color w:val="6E6158"/>
        </w:rPr>
        <w:t>District</w:t>
      </w:r>
      <w:r>
        <w:rPr>
          <w:color w:val="6E6158"/>
          <w:spacing w:val="14"/>
        </w:rPr>
        <w:t> </w:t>
      </w:r>
      <w:r>
        <w:rPr>
          <w:color w:val="6E6158"/>
        </w:rPr>
        <w:t>Court</w:t>
      </w:r>
      <w:r>
        <w:rPr>
          <w:color w:val="6E6158"/>
          <w:spacing w:val="13"/>
        </w:rPr>
        <w:t> </w:t>
      </w:r>
      <w:r>
        <w:rPr>
          <w:color w:val="6E6158"/>
        </w:rPr>
        <w:t>–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Nevada).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201"/>
      </w:pPr>
      <w:r>
        <w:rPr>
          <w:color w:val="6E6158"/>
        </w:rPr>
        <w:t>Secured temporary restraining order and preliminary injunction against departing employee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competitor</w:t>
      </w:r>
      <w:r>
        <w:rPr>
          <w:color w:val="6E6158"/>
          <w:spacing w:val="36"/>
        </w:rPr>
        <w:t> </w:t>
      </w:r>
      <w:r>
        <w:rPr>
          <w:color w:val="6E6158"/>
        </w:rPr>
        <w:t>(U.S.</w:t>
      </w:r>
      <w:r>
        <w:rPr>
          <w:color w:val="6E6158"/>
          <w:spacing w:val="36"/>
        </w:rPr>
        <w:t> </w:t>
      </w:r>
      <w:r>
        <w:rPr>
          <w:color w:val="6E6158"/>
        </w:rPr>
        <w:t>District</w:t>
      </w:r>
      <w:r>
        <w:rPr>
          <w:color w:val="6E6158"/>
          <w:spacing w:val="36"/>
        </w:rPr>
        <w:t> </w:t>
      </w:r>
      <w:r>
        <w:rPr>
          <w:color w:val="6E6158"/>
        </w:rPr>
        <w:t>Court</w:t>
      </w:r>
      <w:r>
        <w:rPr>
          <w:color w:val="6E6158"/>
          <w:spacing w:val="36"/>
        </w:rPr>
        <w:t> </w:t>
      </w:r>
      <w:r>
        <w:rPr>
          <w:color w:val="6E6158"/>
        </w:rPr>
        <w:t>–</w:t>
      </w:r>
      <w:r>
        <w:rPr>
          <w:color w:val="6E6158"/>
          <w:spacing w:val="36"/>
        </w:rPr>
        <w:t> </w:t>
      </w:r>
      <w:r>
        <w:rPr>
          <w:color w:val="6E6158"/>
        </w:rPr>
        <w:t>Central</w:t>
      </w:r>
      <w:r>
        <w:rPr>
          <w:color w:val="6E6158"/>
          <w:spacing w:val="36"/>
        </w:rPr>
        <w:t> </w:t>
      </w:r>
      <w:r>
        <w:rPr>
          <w:color w:val="6E6158"/>
        </w:rPr>
        <w:t>District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California,</w:t>
      </w:r>
      <w:r>
        <w:rPr>
          <w:color w:val="6E6158"/>
          <w:spacing w:val="36"/>
        </w:rPr>
        <w:t> </w:t>
      </w:r>
      <w:r>
        <w:rPr>
          <w:color w:val="6E6158"/>
        </w:rPr>
        <w:t>Southern</w:t>
      </w:r>
      <w:r>
        <w:rPr>
          <w:color w:val="6E6158"/>
          <w:spacing w:val="36"/>
        </w:rPr>
        <w:t> </w:t>
      </w:r>
      <w:r>
        <w:rPr>
          <w:color w:val="6E6158"/>
        </w:rPr>
        <w:t>Division).</w:t>
      </w:r>
    </w:p>
    <w:p>
      <w:pPr>
        <w:pStyle w:val="BodyText"/>
        <w:spacing w:line="292" w:lineRule="auto" w:before="132"/>
        <w:ind w:right="680"/>
      </w:pPr>
      <w:r>
        <w:rPr>
          <w:color w:val="6E6158"/>
        </w:rPr>
        <w:t>Secured preliminary and permanent injunction against departing employee and </w:t>
      </w:r>
      <w:r>
        <w:rPr>
          <w:color w:val="6E6158"/>
        </w:rPr>
        <w:t>competitor</w:t>
      </w:r>
      <w:r>
        <w:rPr>
          <w:color w:val="6E6158"/>
          <w:spacing w:val="40"/>
        </w:rPr>
        <w:t> </w:t>
      </w:r>
      <w:r>
        <w:rPr>
          <w:color w:val="6E6158"/>
        </w:rPr>
        <w:t>(U.S. District Court – Nevada).</w:t>
      </w:r>
    </w:p>
    <w:p>
      <w:pPr>
        <w:pStyle w:val="BodyText"/>
        <w:spacing w:line="292" w:lineRule="auto" w:before="123"/>
        <w:ind w:right="348"/>
      </w:pPr>
      <w:r>
        <w:rPr>
          <w:color w:val="6E6158"/>
        </w:rPr>
        <w:t>Dissolved temporary restraining order and defeated motion for preliminary injunction </w:t>
      </w:r>
      <w:r>
        <w:rPr>
          <w:color w:val="6E6158"/>
        </w:rPr>
        <w:t>sought</w:t>
      </w:r>
      <w:r>
        <w:rPr>
          <w:color w:val="6E6158"/>
          <w:spacing w:val="40"/>
        </w:rPr>
        <w:t> </w:t>
      </w:r>
      <w:r>
        <w:rPr>
          <w:color w:val="6E6158"/>
        </w:rPr>
        <w:t>against departing employee (Maricopa County Superior Court).</w:t>
      </w:r>
    </w:p>
    <w:p>
      <w:pPr>
        <w:pStyle w:val="BodyText"/>
        <w:spacing w:before="131"/>
      </w:pPr>
      <w:r>
        <w:rPr>
          <w:color w:val="6E6158"/>
        </w:rPr>
        <w:t>Various</w:t>
      </w:r>
      <w:r>
        <w:rPr>
          <w:color w:val="6E6158"/>
          <w:spacing w:val="13"/>
        </w:rPr>
        <w:t> </w:t>
      </w:r>
      <w:r>
        <w:rPr>
          <w:color w:val="6E6158"/>
        </w:rPr>
        <w:t>summary</w:t>
      </w:r>
      <w:r>
        <w:rPr>
          <w:color w:val="6E6158"/>
          <w:spacing w:val="14"/>
        </w:rPr>
        <w:t> </w:t>
      </w:r>
      <w:r>
        <w:rPr>
          <w:color w:val="6E6158"/>
        </w:rPr>
        <w:t>judgments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employment-related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other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claims.</w:t>
      </w:r>
    </w:p>
    <w:p>
      <w:pPr>
        <w:pStyle w:val="BodyText"/>
        <w:spacing w:line="420" w:lineRule="auto" w:before="174"/>
        <w:ind w:right="680"/>
      </w:pPr>
      <w:r>
        <w:rPr>
          <w:color w:val="6E6158"/>
        </w:rPr>
        <w:t>Numerous restraining orders and injunctions secured to enforce restrictive covenants. Numerous</w:t>
      </w:r>
      <w:r>
        <w:rPr>
          <w:color w:val="6E6158"/>
          <w:spacing w:val="29"/>
        </w:rPr>
        <w:t> </w:t>
      </w:r>
      <w:r>
        <w:rPr>
          <w:color w:val="6E6158"/>
        </w:rPr>
        <w:t>no-cause</w:t>
      </w:r>
      <w:r>
        <w:rPr>
          <w:color w:val="6E6158"/>
          <w:spacing w:val="29"/>
        </w:rPr>
        <w:t> </w:t>
      </w:r>
      <w:r>
        <w:rPr>
          <w:color w:val="6E6158"/>
        </w:rPr>
        <w:t>findings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charges</w:t>
      </w:r>
      <w:r>
        <w:rPr>
          <w:color w:val="6E6158"/>
          <w:spacing w:val="29"/>
        </w:rPr>
        <w:t> </w:t>
      </w:r>
      <w:r>
        <w:rPr>
          <w:color w:val="6E6158"/>
        </w:rPr>
        <w:t>filed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EEOC,</w:t>
      </w:r>
      <w:r>
        <w:rPr>
          <w:color w:val="6E6158"/>
          <w:spacing w:val="29"/>
        </w:rPr>
        <w:t> </w:t>
      </w:r>
      <w:r>
        <w:rPr>
          <w:color w:val="6E6158"/>
        </w:rPr>
        <w:t>ACRD,</w:t>
      </w:r>
      <w:r>
        <w:rPr>
          <w:color w:val="6E6158"/>
          <w:spacing w:val="29"/>
        </w:rPr>
        <w:t> </w:t>
      </w:r>
      <w:r>
        <w:rPr>
          <w:color w:val="6E6158"/>
        </w:rPr>
        <w:t>NERC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NMHRD.</w:t>
      </w:r>
    </w:p>
    <w:p>
      <w:pPr>
        <w:pStyle w:val="BodyText"/>
        <w:spacing w:line="302" w:lineRule="auto"/>
      </w:pPr>
      <w:r>
        <w:rPr>
          <w:color w:val="6E6158"/>
        </w:rPr>
        <w:t>Bench trial for plaintiff to enforce commercial contract (U.S. District Court – Central District of</w:t>
      </w:r>
      <w:r>
        <w:rPr>
          <w:color w:val="6E6158"/>
          <w:spacing w:val="40"/>
        </w:rPr>
        <w:t> </w:t>
      </w:r>
      <w:r>
        <w:rPr>
          <w:color w:val="6E6158"/>
        </w:rPr>
        <w:t>California, Southern Division) – judgment for plaintiff in excess of $1,000,000.</w:t>
      </w:r>
    </w:p>
    <w:p>
      <w:pPr>
        <w:pStyle w:val="BodyText"/>
        <w:spacing w:line="292" w:lineRule="auto" w:before="112"/>
        <w:ind w:right="201"/>
      </w:pPr>
      <w:r>
        <w:rPr>
          <w:color w:val="6E6158"/>
        </w:rPr>
        <w:t>One-week jury trial for plaintiff in equine litigation against an insurance company and </w:t>
      </w:r>
      <w:r>
        <w:rPr>
          <w:color w:val="6E6158"/>
        </w:rPr>
        <w:t>insurance</w:t>
      </w:r>
      <w:r>
        <w:rPr>
          <w:color w:val="6E6158"/>
          <w:spacing w:val="40"/>
        </w:rPr>
        <w:t> </w:t>
      </w:r>
      <w:r>
        <w:rPr>
          <w:color w:val="6E6158"/>
        </w:rPr>
        <w:t>broker (U.S. District Court – Central District of California) – plaintiff’s verdict.</w:t>
      </w:r>
    </w:p>
    <w:p>
      <w:pPr>
        <w:pStyle w:val="BodyText"/>
        <w:spacing w:line="302" w:lineRule="auto" w:before="123"/>
        <w:ind w:right="348"/>
      </w:pPr>
      <w:r>
        <w:rPr>
          <w:color w:val="6E6158"/>
        </w:rPr>
        <w:t>Secured dismissal of defamation action against dentists and professional organization </w:t>
      </w:r>
      <w:r>
        <w:rPr>
          <w:color w:val="6E6158"/>
        </w:rPr>
        <w:t>(District</w:t>
      </w:r>
      <w:r>
        <w:rPr>
          <w:color w:val="6E6158"/>
          <w:spacing w:val="40"/>
        </w:rPr>
        <w:t> </w:t>
      </w:r>
      <w:r>
        <w:rPr>
          <w:color w:val="6E6158"/>
        </w:rPr>
        <w:t>Court – Nevada).</w:t>
      </w:r>
    </w:p>
    <w:p>
      <w:pPr>
        <w:pStyle w:val="BodyText"/>
        <w:spacing w:line="292" w:lineRule="auto" w:before="113"/>
        <w:ind w:right="680"/>
      </w:pPr>
      <w:r>
        <w:rPr>
          <w:color w:val="6E6158"/>
        </w:rPr>
        <w:t>Secured summary judgments for national life insurance companies on disability/ERISA </w:t>
      </w:r>
      <w:r>
        <w:rPr>
          <w:color w:val="6E6158"/>
        </w:rPr>
        <w:t>claims</w:t>
      </w:r>
      <w:r>
        <w:rPr>
          <w:color w:val="6E6158"/>
          <w:spacing w:val="40"/>
        </w:rPr>
        <w:t> </w:t>
      </w:r>
      <w:r>
        <w:rPr>
          <w:color w:val="6E6158"/>
        </w:rPr>
        <w:t>(U.S. District Court – Nevada).</w:t>
      </w:r>
    </w:p>
    <w:p>
      <w:pPr>
        <w:pStyle w:val="BodyText"/>
        <w:spacing w:line="292" w:lineRule="auto" w:before="131"/>
        <w:ind w:right="348"/>
      </w:pPr>
      <w:r>
        <w:rPr>
          <w:color w:val="6E6158"/>
        </w:rPr>
        <w:t>Trial-styled arbitration – defense on defamation and slander claims (Ventura County </w:t>
      </w:r>
      <w:r>
        <w:rPr>
          <w:color w:val="6E6158"/>
        </w:rPr>
        <w:t>Superior </w:t>
      </w:r>
      <w:r>
        <w:rPr>
          <w:color w:val="6E6158"/>
          <w:spacing w:val="-2"/>
        </w:rPr>
        <w:t>Court).</w:t>
      </w:r>
    </w:p>
    <w:p>
      <w:pPr>
        <w:pStyle w:val="BodyText"/>
        <w:spacing w:line="292" w:lineRule="auto" w:before="123"/>
        <w:ind w:right="348"/>
      </w:pPr>
      <w:r>
        <w:rPr>
          <w:color w:val="6E6158"/>
        </w:rPr>
        <w:t>Summary Judgment on abuse of process and malicious prosecution claims (Pima </w:t>
      </w:r>
      <w:r>
        <w:rPr>
          <w:color w:val="6E6158"/>
        </w:rPr>
        <w:t>County Superior Court).</w:t>
      </w:r>
    </w:p>
    <w:p>
      <w:pPr>
        <w:pStyle w:val="BodyText"/>
        <w:spacing w:before="12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7"/>
        <w:ind w:left="0"/>
        <w:rPr>
          <w:b/>
        </w:rPr>
      </w:pPr>
    </w:p>
    <w:p>
      <w:pPr>
        <w:spacing w:line="288" w:lineRule="auto" w:before="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America®</w:t>
      </w:r>
      <w:r>
        <w:rPr>
          <w:color w:val="6E6158"/>
          <w:sz w:val="19"/>
        </w:rPr>
        <w:t>, Lawyer of the Year, Professional Malpractice Law – Defendants, 2023, 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line="288" w:lineRule="auto" w:before="121"/>
        <w:ind w:right="460"/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</w:rPr>
        <w:t>Commercial Litigation, Employment Law Management, Litigation </w:t>
      </w:r>
      <w:r>
        <w:rPr>
          <w:color w:val="6E6158"/>
        </w:rPr>
        <w:t>– Labor and Employment, Professional Malpractice Law – Defendants, 2014-2026</w:t>
      </w:r>
    </w:p>
    <w:p>
      <w:pPr>
        <w:spacing w:line="398" w:lineRule="auto" w:before="126"/>
        <w:ind w:left="99" w:right="2566" w:firstLine="0"/>
        <w:jc w:val="left"/>
        <w:rPr>
          <w:sz w:val="19"/>
        </w:rPr>
      </w:pP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Litigation,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Benchmark Litigation Star, 2016-2019 and </w:t>
      </w:r>
      <w:r>
        <w:rPr>
          <w:color w:val="6E6158"/>
          <w:sz w:val="19"/>
        </w:rPr>
        <w:t>2025 Top 100 Lawyers in Arizona, </w:t>
      </w:r>
      <w:r>
        <w:rPr>
          <w:i/>
          <w:color w:val="6E6158"/>
          <w:sz w:val="20"/>
        </w:rPr>
        <w:t>AZ Big Media, </w:t>
      </w:r>
      <w:r>
        <w:rPr>
          <w:color w:val="6E6158"/>
          <w:sz w:val="19"/>
        </w:rPr>
        <w:t>2020, 2022, 2025-2026</w:t>
      </w:r>
    </w:p>
    <w:p>
      <w:pPr>
        <w:spacing w:line="403" w:lineRule="auto" w:before="0"/>
        <w:ind w:left="99" w:right="3015" w:firstLine="0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Lawyers®</w:t>
      </w:r>
      <w:r>
        <w:rPr>
          <w:color w:val="6E6158"/>
          <w:sz w:val="19"/>
        </w:rPr>
        <w:t>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25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Arizona,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2020-</w:t>
      </w:r>
      <w:r>
        <w:rPr>
          <w:color w:val="6E6158"/>
          <w:sz w:val="19"/>
        </w:rPr>
        <w:t>2026 </w:t>
      </w:r>
      <w:r>
        <w:rPr>
          <w:i/>
          <w:color w:val="6E6158"/>
          <w:sz w:val="20"/>
        </w:rPr>
        <w:t>Southwest Super Lawyers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 Business Litigation, 2017-2026 </w:t>
      </w:r>
      <w:r>
        <w:rPr>
          <w:i/>
          <w:color w:val="6E6158"/>
          <w:sz w:val="20"/>
        </w:rPr>
        <w:t>Chambers USA, </w:t>
      </w:r>
      <w:r>
        <w:rPr>
          <w:color w:val="090909"/>
          <w:sz w:val="19"/>
        </w:rPr>
        <w:t>Leading Lawyers for Business, 2020-2026</w:t>
      </w:r>
    </w:p>
    <w:p>
      <w:pPr>
        <w:pStyle w:val="BodyText"/>
        <w:spacing w:before="5"/>
      </w:pPr>
      <w:r>
        <w:rPr>
          <w:color w:val="6E6158"/>
        </w:rPr>
        <w:t>Top</w:t>
      </w:r>
      <w:r>
        <w:rPr>
          <w:color w:val="6E6158"/>
          <w:spacing w:val="12"/>
        </w:rPr>
        <w:t> </w:t>
      </w:r>
      <w:r>
        <w:rPr>
          <w:color w:val="6E6158"/>
        </w:rPr>
        <w:t>Lawyers</w:t>
      </w:r>
      <w:r>
        <w:rPr>
          <w:color w:val="6E6158"/>
          <w:spacing w:val="12"/>
        </w:rPr>
        <w:t> </w:t>
      </w:r>
      <w:r>
        <w:rPr>
          <w:color w:val="6E6158"/>
        </w:rPr>
        <w:t>Phoenix</w:t>
      </w:r>
      <w:r>
        <w:rPr>
          <w:color w:val="6E6158"/>
          <w:spacing w:val="12"/>
        </w:rPr>
        <w:t> </w:t>
      </w:r>
      <w:r>
        <w:rPr>
          <w:color w:val="6E6158"/>
        </w:rPr>
        <w:t>Magazine,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2025</w:t>
      </w:r>
    </w:p>
    <w:p>
      <w:pPr>
        <w:spacing w:before="164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AZ Business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Leaders,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Big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Media,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spacing w:before="170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Selected,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“Most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Influential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Business,”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AZ Business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Magazine, </w:t>
      </w:r>
      <w:r>
        <w:rPr>
          <w:color w:val="6E6158"/>
          <w:spacing w:val="-4"/>
          <w:sz w:val="19"/>
        </w:rPr>
        <w:t>2015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bizAZ’s,</w:t>
      </w:r>
      <w:r>
        <w:rPr>
          <w:i/>
          <w:color w:val="6E6158"/>
          <w:spacing w:val="16"/>
          <w:sz w:val="20"/>
        </w:rPr>
        <w:t> </w:t>
      </w:r>
      <w:r>
        <w:rPr>
          <w:color w:val="6E6158"/>
          <w:sz w:val="19"/>
        </w:rPr>
        <w:t>“Up-And-Coming-Attorneys,”</w:t>
      </w:r>
      <w:r>
        <w:rPr>
          <w:color w:val="6E6158"/>
          <w:spacing w:val="19"/>
          <w:sz w:val="19"/>
        </w:rPr>
        <w:t> </w:t>
      </w:r>
      <w:r>
        <w:rPr>
          <w:color w:val="6E6158"/>
          <w:spacing w:val="-4"/>
          <w:sz w:val="19"/>
        </w:rPr>
        <w:t>2005</w:t>
      </w:r>
    </w:p>
    <w:p>
      <w:pPr>
        <w:pStyle w:val="BodyText"/>
        <w:spacing w:before="164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1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Heading2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0" w:lineRule="auto" w:before="83"/>
        <w:ind w:right="2566"/>
      </w:pPr>
      <w:r>
        <w:rPr>
          <w:color w:val="6E6158"/>
        </w:rPr>
        <w:t>Featured, “</w:t>
      </w:r>
      <w:hyperlink r:id="rId11">
        <w:r>
          <w:rPr>
            <w:color w:val="F5821F"/>
          </w:rPr>
          <w:t>2025 Top Lawyers</w:t>
        </w:r>
      </w:hyperlink>
      <w:r>
        <w:rPr>
          <w:color w:val="6E6158"/>
        </w:rPr>
        <w:t>,” Phoenix Magaizne, September 8, </w:t>
      </w:r>
      <w:r>
        <w:rPr>
          <w:color w:val="6E6158"/>
        </w:rPr>
        <w:t>2025 Featured, “</w:t>
      </w:r>
      <w:hyperlink r:id="rId12">
        <w:r>
          <w:rPr>
            <w:color w:val="F5821F"/>
          </w:rPr>
          <w:t>Top 100 Lawyers</w:t>
        </w:r>
      </w:hyperlink>
      <w:r>
        <w:rPr>
          <w:color w:val="6E6158"/>
        </w:rPr>
        <w:t>,” AZBusiness Magazine, January 2025</w:t>
      </w:r>
    </w:p>
    <w:p>
      <w:pPr>
        <w:pStyle w:val="BodyText"/>
        <w:spacing w:line="292" w:lineRule="auto" w:before="7"/>
        <w:ind w:right="348"/>
      </w:pPr>
      <w:r>
        <w:rPr>
          <w:color w:val="6E6158"/>
        </w:rPr>
        <w:t>Featured, “Top 10 Most Influential Commercial Litigation Lawyers in Arizona for 2023,” </w:t>
      </w:r>
      <w:r>
        <w:rPr>
          <w:color w:val="6E6158"/>
        </w:rPr>
        <w:t>Business Today, July 21, 2023</w:t>
      </w:r>
    </w:p>
    <w:p>
      <w:pPr>
        <w:pStyle w:val="BodyText"/>
        <w:spacing w:before="123"/>
      </w:pPr>
      <w:r>
        <w:rPr>
          <w:color w:val="6E6158"/>
        </w:rPr>
        <w:t>Featured,</w:t>
      </w:r>
      <w:r>
        <w:rPr>
          <w:color w:val="6E6158"/>
          <w:spacing w:val="9"/>
        </w:rPr>
        <w:t> </w:t>
      </w:r>
      <w:r>
        <w:rPr>
          <w:color w:val="6E6158"/>
        </w:rPr>
        <w:t>“Top</w:t>
      </w:r>
      <w:r>
        <w:rPr>
          <w:color w:val="6E6158"/>
          <w:spacing w:val="10"/>
        </w:rPr>
        <w:t> </w:t>
      </w:r>
      <w:r>
        <w:rPr>
          <w:color w:val="6E6158"/>
        </w:rPr>
        <w:t>100</w:t>
      </w:r>
      <w:r>
        <w:rPr>
          <w:color w:val="6E6158"/>
          <w:spacing w:val="9"/>
        </w:rPr>
        <w:t> </w:t>
      </w:r>
      <w:r>
        <w:rPr>
          <w:color w:val="6E6158"/>
        </w:rPr>
        <w:t>Lawyers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2023,”</w:t>
      </w:r>
      <w:r>
        <w:rPr>
          <w:color w:val="6E6158"/>
          <w:spacing w:val="10"/>
        </w:rPr>
        <w:t> </w:t>
      </w:r>
      <w:r>
        <w:rPr>
          <w:color w:val="6E6158"/>
        </w:rPr>
        <w:t>AZ</w:t>
      </w:r>
      <w:r>
        <w:rPr>
          <w:color w:val="6E6158"/>
          <w:spacing w:val="9"/>
        </w:rPr>
        <w:t> </w:t>
      </w:r>
      <w:r>
        <w:rPr>
          <w:color w:val="6E6158"/>
        </w:rPr>
        <w:t>Big</w:t>
      </w:r>
      <w:r>
        <w:rPr>
          <w:color w:val="6E6158"/>
          <w:spacing w:val="10"/>
        </w:rPr>
        <w:t> </w:t>
      </w:r>
      <w:r>
        <w:rPr>
          <w:color w:val="6E6158"/>
        </w:rPr>
        <w:t>Media,</w:t>
      </w:r>
      <w:r>
        <w:rPr>
          <w:color w:val="6E6158"/>
          <w:spacing w:val="10"/>
        </w:rPr>
        <w:t> </w:t>
      </w:r>
      <w:r>
        <w:rPr>
          <w:color w:val="6E6158"/>
        </w:rPr>
        <w:t>January</w:t>
      </w:r>
      <w:r>
        <w:rPr>
          <w:color w:val="6E6158"/>
          <w:spacing w:val="9"/>
        </w:rPr>
        <w:t> </w:t>
      </w:r>
      <w:r>
        <w:rPr>
          <w:color w:val="6E6158"/>
        </w:rPr>
        <w:t>19,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302" w:lineRule="auto" w:before="174"/>
        <w:ind w:right="348"/>
      </w:pPr>
      <w:hyperlink r:id="rId13">
        <w:r>
          <w:rPr>
            <w:color w:val="F5821F"/>
          </w:rPr>
          <w:t>Interview, “Determine What is Important to You and Fully Commit to Making it a Priority,”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Fennemore Blog, August 19, 2021</w:t>
        </w:r>
      </w:hyperlink>
    </w:p>
    <w:p>
      <w:pPr>
        <w:spacing w:line="288" w:lineRule="auto" w:before="103"/>
        <w:ind w:left="99" w:right="43" w:firstLine="0"/>
        <w:jc w:val="left"/>
        <w:rPr>
          <w:sz w:val="19"/>
        </w:rPr>
      </w:pPr>
      <w:r>
        <w:rPr>
          <w:color w:val="6E6158"/>
          <w:sz w:val="19"/>
        </w:rPr>
        <w:t>Co-author,</w:t>
      </w:r>
      <w:r>
        <w:rPr>
          <w:color w:val="6E6158"/>
          <w:spacing w:val="-9"/>
          <w:sz w:val="19"/>
        </w:rPr>
        <w:t> </w:t>
      </w:r>
      <w:r>
        <w:rPr>
          <w:i/>
          <w:color w:val="6E6158"/>
          <w:sz w:val="20"/>
        </w:rPr>
        <w:t>Practical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Challenges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to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Enforcing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Confidentiality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Agreements</w:t>
      </w:r>
      <w:r>
        <w:rPr>
          <w:color w:val="6E6158"/>
          <w:sz w:val="19"/>
        </w:rPr>
        <w:t>,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67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Rocky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Mtn.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Min.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L. Inst. 18-1, 2021</w:t>
      </w:r>
    </w:p>
    <w:p>
      <w:pPr>
        <w:pStyle w:val="BodyText"/>
        <w:spacing w:line="417" w:lineRule="auto" w:before="128"/>
      </w:pPr>
      <w:hyperlink r:id="rId14">
        <w:r>
          <w:rPr>
            <w:color w:val="FF8100"/>
          </w:rPr>
          <w:t>Quoted, “Let’s Celebrate Random Acts of Kindness Day,” Fennemore Blog, February 18, </w:t>
        </w:r>
        <w:r>
          <w:rPr>
            <w:color w:val="FF8100"/>
          </w:rPr>
          <w:t>2021</w:t>
        </w:r>
      </w:hyperlink>
      <w:r>
        <w:rPr>
          <w:color w:val="FF8100"/>
          <w:spacing w:val="40"/>
        </w:rPr>
        <w:t> </w:t>
      </w:r>
      <w:r>
        <w:rPr>
          <w:color w:val="6E6158"/>
        </w:rPr>
        <w:t>Quoted, “e-Discovery Process Impacted by Covid-19 Crisis?” </w:t>
      </w:r>
      <w:r>
        <w:rPr>
          <w:i/>
          <w:color w:val="6E6158"/>
          <w:sz w:val="20"/>
        </w:rPr>
        <w:t>Legal Reader, </w:t>
      </w:r>
      <w:r>
        <w:rPr>
          <w:color w:val="6E6158"/>
        </w:rPr>
        <w:t>June 15 2020</w:t>
      </w:r>
    </w:p>
    <w:p>
      <w:pPr>
        <w:pStyle w:val="BodyText"/>
        <w:spacing w:line="292" w:lineRule="auto"/>
        <w:ind w:right="348"/>
      </w:pPr>
      <w:hyperlink r:id="rId15">
        <w:r>
          <w:rPr>
            <w:color w:val="FF8100"/>
          </w:rPr>
          <w:t>Co-author, “COVID-19: Health Plan Coverage For Furloughed Employees,” Fennemore </w:t>
        </w:r>
        <w:r>
          <w:rPr>
            <w:color w:val="FF8100"/>
          </w:rPr>
          <w:t>Client</w:t>
        </w:r>
      </w:hyperlink>
      <w:r>
        <w:rPr>
          <w:color w:val="FF8100"/>
        </w:rPr>
        <w:t> </w:t>
      </w:r>
      <w:hyperlink r:id="rId15">
        <w:r>
          <w:rPr>
            <w:color w:val="FF8100"/>
          </w:rPr>
          <w:t>Alert, March 26, 2020</w:t>
        </w:r>
      </w:hyperlink>
    </w:p>
    <w:p>
      <w:pPr>
        <w:pStyle w:val="BodyText"/>
        <w:spacing w:line="302" w:lineRule="auto" w:before="113"/>
      </w:pPr>
      <w:hyperlink r:id="rId16">
        <w:r>
          <w:rPr>
            <w:color w:val="FF8100"/>
          </w:rPr>
          <w:t>Co-author, “Understanding the Emergency Family Medical Leave Expansion Act and </w:t>
        </w:r>
        <w:r>
          <w:rPr>
            <w:color w:val="FF8100"/>
          </w:rPr>
          <w:t>Emergency</w:t>
        </w:r>
      </w:hyperlink>
      <w:r>
        <w:rPr>
          <w:color w:val="FF8100"/>
        </w:rPr>
        <w:t> </w:t>
      </w:r>
      <w:hyperlink r:id="rId16">
        <w:r>
          <w:rPr>
            <w:color w:val="FF8100"/>
          </w:rPr>
          <w:t>Paid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Sick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Leave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in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the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Families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First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Coronavirus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Response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Act,”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March</w:t>
        </w:r>
      </w:hyperlink>
    </w:p>
    <w:p>
      <w:pPr>
        <w:pStyle w:val="BodyText"/>
        <w:spacing w:line="224" w:lineRule="exact"/>
      </w:pPr>
      <w:hyperlink r:id="rId16">
        <w:r>
          <w:rPr>
            <w:color w:val="FF8100"/>
          </w:rPr>
          <w:t>20,</w:t>
        </w:r>
        <w:r>
          <w:rPr>
            <w:color w:val="FF8100"/>
            <w:spacing w:val="6"/>
          </w:rPr>
          <w:t> </w:t>
        </w:r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line="302" w:lineRule="auto" w:before="174"/>
      </w:pPr>
      <w:hyperlink r:id="rId17">
        <w:r>
          <w:rPr>
            <w:color w:val="FF8100"/>
          </w:rPr>
          <w:t>Co-author, “Frequently Asked Questions About the Coronavirus in the Employment </w:t>
        </w:r>
        <w:r>
          <w:rPr>
            <w:color w:val="FF8100"/>
          </w:rPr>
          <w:t>Setting,”</w:t>
        </w:r>
      </w:hyperlink>
      <w:r>
        <w:rPr>
          <w:color w:val="FF8100"/>
        </w:rPr>
        <w:t> </w:t>
      </w:r>
      <w:hyperlink r:id="rId17">
        <w:r>
          <w:rPr>
            <w:color w:val="FF8100"/>
          </w:rPr>
          <w:t>Fennemore Client Alert, March 17, 2020</w:t>
        </w:r>
      </w:hyperlink>
    </w:p>
    <w:p>
      <w:pPr>
        <w:spacing w:before="103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“If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I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Knew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Then,”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Crain’s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Phoenix,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2017</w:t>
      </w:r>
    </w:p>
    <w:p>
      <w:pPr>
        <w:pStyle w:val="BodyText"/>
        <w:spacing w:before="160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Directors,</w:t>
      </w:r>
      <w:r>
        <w:rPr>
          <w:color w:val="6E6158"/>
          <w:spacing w:val="12"/>
        </w:rPr>
        <w:t> </w:t>
      </w:r>
      <w:r>
        <w:rPr>
          <w:color w:val="6E6158"/>
        </w:rPr>
        <w:t>Christian</w:t>
      </w:r>
      <w:r>
        <w:rPr>
          <w:color w:val="6E6158"/>
          <w:spacing w:val="11"/>
        </w:rPr>
        <w:t> </w:t>
      </w:r>
      <w:r>
        <w:rPr>
          <w:color w:val="6E6158"/>
        </w:rPr>
        <w:t>Family</w:t>
      </w:r>
      <w:r>
        <w:rPr>
          <w:color w:val="6E6158"/>
          <w:spacing w:val="12"/>
        </w:rPr>
        <w:t> </w:t>
      </w:r>
      <w:r>
        <w:rPr>
          <w:color w:val="6E6158"/>
        </w:rPr>
        <w:t>Care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Agency</w:t>
      </w:r>
    </w:p>
    <w:p>
      <w:pPr>
        <w:pStyle w:val="BodyText"/>
        <w:spacing w:before="174"/>
      </w:pP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Labor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Employment</w:t>
      </w:r>
      <w:r>
        <w:rPr>
          <w:color w:val="6E6158"/>
          <w:spacing w:val="12"/>
        </w:rPr>
        <w:t> </w:t>
      </w:r>
      <w:r>
        <w:rPr>
          <w:color w:val="6E6158"/>
        </w:rPr>
        <w:t>Section,</w:t>
      </w:r>
      <w:r>
        <w:rPr>
          <w:color w:val="6E6158"/>
          <w:spacing w:val="12"/>
        </w:rPr>
        <w:t> </w:t>
      </w:r>
      <w:r>
        <w:rPr>
          <w:color w:val="6E6158"/>
        </w:rPr>
        <w:t>American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292" w:lineRule="auto" w:before="182"/>
        <w:ind w:right="348"/>
      </w:pPr>
      <w:r>
        <w:rPr>
          <w:color w:val="6E6158"/>
        </w:rPr>
        <w:t>Former Member, The Sedona Conference Working Group 1 on Electronic Documents Retention and Production</w:t>
      </w:r>
    </w:p>
    <w:p>
      <w:pPr>
        <w:pStyle w:val="BodyText"/>
        <w:spacing w:before="123"/>
      </w:pP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Association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Defense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Counsel</w:t>
      </w:r>
    </w:p>
    <w:p>
      <w:pPr>
        <w:pStyle w:val="BodyText"/>
        <w:spacing w:before="174"/>
      </w:pPr>
      <w:r>
        <w:rPr>
          <w:color w:val="6E6158"/>
        </w:rPr>
        <w:t>Past</w:t>
      </w:r>
      <w:r>
        <w:rPr>
          <w:color w:val="6E6158"/>
          <w:spacing w:val="9"/>
        </w:rPr>
        <w:t> </w:t>
      </w:r>
      <w:r>
        <w:rPr>
          <w:color w:val="6E6158"/>
        </w:rPr>
        <w:t>Chair,</w:t>
      </w:r>
      <w:r>
        <w:rPr>
          <w:color w:val="6E6158"/>
          <w:spacing w:val="9"/>
        </w:rPr>
        <w:t> </w:t>
      </w:r>
      <w:r>
        <w:rPr>
          <w:color w:val="6E6158"/>
        </w:rPr>
        <w:t>Labor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Employment</w:t>
      </w:r>
      <w:r>
        <w:rPr>
          <w:color w:val="6E6158"/>
          <w:spacing w:val="9"/>
        </w:rPr>
        <w:t> </w:t>
      </w:r>
      <w:r>
        <w:rPr>
          <w:color w:val="6E6158"/>
        </w:rPr>
        <w:t>Section,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</w:pPr>
      <w:r>
        <w:rPr>
          <w:color w:val="6E6158"/>
        </w:rPr>
        <w:t>Past</w:t>
      </w:r>
      <w:r>
        <w:rPr>
          <w:color w:val="6E6158"/>
          <w:spacing w:val="12"/>
        </w:rPr>
        <w:t> </w:t>
      </w:r>
      <w:r>
        <w:rPr>
          <w:color w:val="6E6158"/>
        </w:rPr>
        <w:t>Chair-Elect,</w:t>
      </w:r>
      <w:r>
        <w:rPr>
          <w:color w:val="6E6158"/>
          <w:spacing w:val="12"/>
        </w:rPr>
        <w:t> </w:t>
      </w:r>
      <w:r>
        <w:rPr>
          <w:color w:val="6E6158"/>
        </w:rPr>
        <w:t>Treasurer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Secretary,</w:t>
      </w:r>
      <w:r>
        <w:rPr>
          <w:color w:val="6E6158"/>
          <w:spacing w:val="13"/>
        </w:rPr>
        <w:t> </w:t>
      </w:r>
      <w:r>
        <w:rPr>
          <w:color w:val="6E6158"/>
        </w:rPr>
        <w:t>Labor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Employment</w:t>
      </w:r>
      <w:r>
        <w:rPr>
          <w:color w:val="6E6158"/>
          <w:spacing w:val="12"/>
        </w:rPr>
        <w:t> </w:t>
      </w:r>
      <w:r>
        <w:rPr>
          <w:color w:val="6E6158"/>
        </w:rPr>
        <w:t>Section,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line="292" w:lineRule="auto" w:before="174"/>
        <w:ind w:right="156"/>
        <w:jc w:val="both"/>
      </w:pPr>
      <w:r>
        <w:rPr>
          <w:color w:val="6E6158"/>
        </w:rPr>
        <w:t>Past Chair, Continuing Legal Education Committee, Labor and Employment Section, State Bar </w:t>
      </w:r>
      <w:r>
        <w:rPr>
          <w:color w:val="6E6158"/>
        </w:rPr>
        <w:t>of </w:t>
      </w:r>
      <w:r>
        <w:rPr>
          <w:color w:val="6E6158"/>
          <w:spacing w:val="-2"/>
        </w:rPr>
        <w:t>Arizona</w:t>
      </w:r>
    </w:p>
    <w:p>
      <w:pPr>
        <w:pStyle w:val="BodyText"/>
        <w:spacing w:line="420" w:lineRule="auto" w:before="131"/>
        <w:ind w:right="883"/>
        <w:jc w:val="both"/>
      </w:pPr>
      <w:r>
        <w:rPr>
          <w:color w:val="6E6158"/>
        </w:rPr>
        <w:t>Past Co-Chair, Labor and Employment Section, State Bar of Arizona’s Annual </w:t>
      </w:r>
      <w:r>
        <w:rPr>
          <w:color w:val="6E6158"/>
        </w:rPr>
        <w:t>Convention Former Arbitrator, Orange County Bar Association Mandatory Fee Arbitration Committee Former Barrister, William P. Gray Legion Lex Inn of Court Foundation</w:t>
      </w:r>
    </w:p>
    <w:p>
      <w:pPr>
        <w:pStyle w:val="Heading2"/>
        <w:spacing w:before="28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2" w:lineRule="auto"/>
        <w:ind w:right="7743"/>
      </w:pPr>
      <w:r>
        <w:rPr>
          <w:color w:val="6E6158"/>
          <w:spacing w:val="-2"/>
        </w:rPr>
        <w:t>Arizona California Nevada</w:t>
      </w:r>
    </w:p>
    <w:p>
      <w:pPr>
        <w:pStyle w:val="BodyText"/>
        <w:spacing w:after="0" w:line="42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amy@fennemorelaw.com" TargetMode="External"/><Relationship Id="rId11" Type="http://schemas.openxmlformats.org/officeDocument/2006/relationships/hyperlink" Target="https://www.phoenixmag.com/2025/09/08/2025-top-lawyers/" TargetMode="External"/><Relationship Id="rId12" Type="http://schemas.openxmlformats.org/officeDocument/2006/relationships/hyperlink" Target="https://azbigmedia.com/publications/azbusiness-january-february-2025/" TargetMode="External"/><Relationship Id="rId13" Type="http://schemas.openxmlformats.org/officeDocument/2006/relationships/hyperlink" Target="https://www.fennemorelaw.com/determine-what-is-important-to-you-and-fully-commit-to-making-it-a-priority/" TargetMode="External"/><Relationship Id="rId14" Type="http://schemas.openxmlformats.org/officeDocument/2006/relationships/hyperlink" Target="https://www.fennemorelaw.com/insights/blogs/2021/let-s-celebrate-random-acts-of-kindness-day" TargetMode="External"/><Relationship Id="rId15" Type="http://schemas.openxmlformats.org/officeDocument/2006/relationships/hyperlink" Target="https://www.fennemorelaw.com/insights/newsletters/2020/covid-19-health-plan-coverage-for-furloughed-employees" TargetMode="External"/><Relationship Id="rId16" Type="http://schemas.openxmlformats.org/officeDocument/2006/relationships/hyperlink" Target="https://www.fennemorelaw.com/insights/newsletters/2020/understanding-the-emergency-family-medical-leave-expansion-act-and-emergency-paid-sick-leave-in-the-families-first-coronavirus-response-act" TargetMode="External"/><Relationship Id="rId17" Type="http://schemas.openxmlformats.org/officeDocument/2006/relationships/hyperlink" Target="https://www.fennemorelaw.com/insights/newsletters/2020/frequently-asked-questions-about-the-coronavirus-in-the-employment-settin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Amy Abdo - Fennemore</dc:title>
  <dcterms:created xsi:type="dcterms:W3CDTF">2026-06-12T10:27:43Z</dcterms:created>
  <dcterms:modified xsi:type="dcterms:W3CDTF">2026-06-12T10:27:43Z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