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68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08480">
                <wp:simplePos x="0" y="0"/>
                <wp:positionH relativeFrom="page">
                  <wp:posOffset>848486</wp:posOffset>
                </wp:positionH>
                <wp:positionV relativeFrom="paragraph">
                  <wp:posOffset>-4729727</wp:posOffset>
                </wp:positionV>
                <wp:extent cx="6071870" cy="48133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813300"/>
                          <a:chExt cx="6071870" cy="48133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NEW26 Anthony Austi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81261" y="763308"/>
                            <a:ext cx="155765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ANTHONY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W. AUSTIN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602.916.5347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602.916.5547</w:t>
                              </w:r>
                            </w:p>
                            <w:p>
                              <w:pPr>
                                <w:spacing w:before="119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aaustin@fennemorelaw.com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678873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313466" y="3756030"/>
                            <a:ext cx="346075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Talent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God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given.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humble.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Fame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man-given.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grateful.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Conceit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self-given. Be careful.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-John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Wooden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678873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72.419525pt;width:478.1pt;height:379pt;mso-position-horizontal-relative:page;mso-position-vertical-relative:paragraph;z-index:-15808000" id="docshapegroup1" coordorigin="1336,-7448" coordsize="9562,7580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449;width:2165;height:424" type="#_x0000_t75" id="docshape3" alt="Fennemore" href="https://www.fennemorelaw.com/" stroked="false">
                  <v:imagedata r:id="rId5" o:title=""/>
                </v:shape>
                <v:shape style="position:absolute;left:1336;top:-7026;width:4785;height:4557" type="#_x0000_t75" id="docshape4" alt="NEW26 Anthony Austin bio" stroked="false">
                  <v:imagedata r:id="rId7" o:title=""/>
                </v:shape>
                <v:rect style="position:absolute;left:6121;top:-7026;width:4777;height:4557" id="docshape5" filled="true" fillcolor="#262424" stroked="false">
                  <v:fill type="solid"/>
                </v:rect>
                <v:shape style="position:absolute;left:6837;top:-4861;width:3337;height:505" id="docshape6" coordorigin="6837,-4861" coordsize="3337,505" path="m10174,-4364l6837,-4364,6837,-4356,10174,-4356,10174,-4364xm10174,-4861l6837,-4861,6837,-4853,10174,-4853,10174,-486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90;top:-6247;width:2453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ANTHONY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W. AUSTIN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089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602.916.5347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602.916.5547</w:t>
                        </w:r>
                      </w:p>
                      <w:p>
                        <w:pPr>
                          <w:spacing w:before="119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aaustin@fennemorelaw.com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04;top:-1534;width:5450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Talent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God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given.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humble.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Fame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man-given.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grateful.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Conceit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 </w:t>
                        </w:r>
                        <w:r>
                          <w:rPr>
                            <w:color w:val="FFFFFF"/>
                            <w:sz w:val="16"/>
                          </w:rPr>
                          <w:t>self-given. Be careful.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-John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Wooden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ANTHONY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z w:val="24"/>
        </w:rPr>
        <w:t>W.</w:t>
      </w:r>
      <w:r>
        <w:rPr>
          <w:b/>
          <w:color w:val="002E6B"/>
          <w:spacing w:val="8"/>
          <w:sz w:val="24"/>
        </w:rPr>
        <w:t> </w:t>
      </w:r>
      <w:r>
        <w:rPr>
          <w:b/>
          <w:color w:val="002E6B"/>
          <w:spacing w:val="-2"/>
          <w:sz w:val="24"/>
        </w:rPr>
        <w:t>AUSTIN</w:t>
      </w:r>
    </w:p>
    <w:p>
      <w:pPr>
        <w:pStyle w:val="BodyText"/>
        <w:spacing w:line="295" w:lineRule="auto" w:before="146"/>
        <w:ind w:left="99" w:right="264"/>
      </w:pPr>
      <w:r>
        <w:rPr>
          <w:color w:val="6E6158"/>
        </w:rPr>
        <w:t>Anthony Austin is a prominent attorney in our financial restructuring, bankruptcy and creditors’</w:t>
      </w:r>
      <w:r>
        <w:rPr>
          <w:color w:val="6E6158"/>
          <w:spacing w:val="40"/>
        </w:rPr>
        <w:t> </w:t>
      </w:r>
      <w:r>
        <w:rPr>
          <w:color w:val="6E6158"/>
        </w:rPr>
        <w:t>rights practice group, where he works on matters including collection and judgment work,</w:t>
      </w:r>
      <w:r>
        <w:rPr>
          <w:color w:val="6E6158"/>
          <w:spacing w:val="40"/>
        </w:rPr>
        <w:t> </w:t>
      </w:r>
      <w:r>
        <w:rPr>
          <w:color w:val="6E6158"/>
        </w:rPr>
        <w:t>breach of contract, partnership disputes and receiverships. He represents financial institutions,</w:t>
      </w:r>
      <w:r>
        <w:rPr>
          <w:color w:val="6E6158"/>
          <w:spacing w:val="40"/>
        </w:rPr>
        <w:t> </w:t>
      </w:r>
      <w:r>
        <w:rPr>
          <w:color w:val="6E6158"/>
        </w:rPr>
        <w:t>debtors,</w:t>
      </w:r>
      <w:r>
        <w:rPr>
          <w:color w:val="6E6158"/>
          <w:spacing w:val="17"/>
        </w:rPr>
        <w:t> </w:t>
      </w:r>
      <w:r>
        <w:rPr>
          <w:color w:val="6E6158"/>
        </w:rPr>
        <w:t>creditors,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trustees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all</w:t>
      </w:r>
      <w:r>
        <w:rPr>
          <w:color w:val="6E6158"/>
          <w:spacing w:val="17"/>
        </w:rPr>
        <w:t> </w:t>
      </w:r>
      <w:r>
        <w:rPr>
          <w:color w:val="6E6158"/>
        </w:rPr>
        <w:t>phases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complex</w:t>
      </w:r>
      <w:r>
        <w:rPr>
          <w:color w:val="6E6158"/>
          <w:spacing w:val="17"/>
        </w:rPr>
        <w:t> </w:t>
      </w:r>
      <w:r>
        <w:rPr>
          <w:color w:val="6E6158"/>
        </w:rPr>
        <w:t>litigation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restructuring</w:t>
      </w:r>
      <w:r>
        <w:rPr>
          <w:color w:val="6E6158"/>
          <w:spacing w:val="17"/>
        </w:rPr>
        <w:t> </w:t>
      </w:r>
      <w:r>
        <w:rPr>
          <w:color w:val="6E6158"/>
        </w:rPr>
        <w:t>transactions,</w:t>
      </w:r>
    </w:p>
    <w:p>
      <w:pPr>
        <w:pStyle w:val="BodyText"/>
        <w:spacing w:line="302" w:lineRule="auto" w:before="2"/>
        <w:ind w:left="99" w:right="216"/>
      </w:pPr>
      <w:r>
        <w:rPr>
          <w:color w:val="6E6158"/>
        </w:rPr>
        <w:t>including trials and appeals. As an experienced bankruptcy attorney, Anthony has a wide </w:t>
      </w:r>
      <w:r>
        <w:rPr>
          <w:color w:val="6E6158"/>
        </w:rPr>
        <w:t>range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17"/>
        </w:rPr>
        <w:t> </w:t>
      </w:r>
      <w:r>
        <w:rPr>
          <w:color w:val="6E6158"/>
        </w:rPr>
        <w:t>commercial</w:t>
      </w:r>
      <w:r>
        <w:rPr>
          <w:color w:val="6E6158"/>
          <w:spacing w:val="17"/>
        </w:rPr>
        <w:t> </w:t>
      </w:r>
      <w:r>
        <w:rPr>
          <w:color w:val="6E6158"/>
        </w:rPr>
        <w:t>litigation</w:t>
      </w:r>
      <w:r>
        <w:rPr>
          <w:color w:val="6E6158"/>
          <w:spacing w:val="17"/>
        </w:rPr>
        <w:t> </w:t>
      </w:r>
      <w:r>
        <w:rPr>
          <w:color w:val="6E6158"/>
        </w:rPr>
        <w:t>experience</w:t>
      </w:r>
      <w:r>
        <w:rPr>
          <w:color w:val="6E6158"/>
          <w:spacing w:val="17"/>
        </w:rPr>
        <w:t> </w:t>
      </w:r>
      <w:r>
        <w:rPr>
          <w:color w:val="6E6158"/>
        </w:rPr>
        <w:t>involving</w:t>
      </w:r>
      <w:r>
        <w:rPr>
          <w:color w:val="6E6158"/>
          <w:spacing w:val="18"/>
        </w:rPr>
        <w:t> </w:t>
      </w:r>
      <w:r>
        <w:rPr>
          <w:color w:val="6E6158"/>
        </w:rPr>
        <w:t>foreclosures,</w:t>
      </w:r>
      <w:r>
        <w:rPr>
          <w:color w:val="6E6158"/>
          <w:spacing w:val="17"/>
        </w:rPr>
        <w:t> </w:t>
      </w:r>
      <w:r>
        <w:rPr>
          <w:color w:val="6E6158"/>
        </w:rPr>
        <w:t>receiverships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guarantor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litigation.</w:t>
      </w:r>
    </w:p>
    <w:p>
      <w:pPr>
        <w:pStyle w:val="BodyText"/>
        <w:spacing w:line="292" w:lineRule="auto" w:before="186"/>
        <w:ind w:left="99"/>
      </w:pPr>
      <w:r>
        <w:rPr>
          <w:color w:val="6E6158"/>
        </w:rPr>
        <w:t>His experience as a bankruptcy attorney has him representing clients at trial and various types of</w:t>
      </w:r>
      <w:r>
        <w:rPr>
          <w:color w:val="6E6158"/>
          <w:spacing w:val="40"/>
        </w:rPr>
        <w:t> </w:t>
      </w:r>
      <w:r>
        <w:rPr>
          <w:color w:val="6E6158"/>
        </w:rPr>
        <w:t>hearings</w:t>
      </w:r>
      <w:r>
        <w:rPr>
          <w:color w:val="6E6158"/>
          <w:spacing w:val="29"/>
        </w:rPr>
        <w:t> </w:t>
      </w:r>
      <w:r>
        <w:rPr>
          <w:color w:val="6E6158"/>
        </w:rPr>
        <w:t>before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  <w:r>
        <w:rPr>
          <w:color w:val="6E6158"/>
          <w:spacing w:val="29"/>
        </w:rPr>
        <w:t> </w:t>
      </w:r>
      <w:r>
        <w:rPr>
          <w:color w:val="6E6158"/>
        </w:rPr>
        <w:t>Bankruptcy</w:t>
      </w:r>
      <w:r>
        <w:rPr>
          <w:color w:val="6E6158"/>
          <w:spacing w:val="29"/>
        </w:rPr>
        <w:t> </w:t>
      </w:r>
      <w:r>
        <w:rPr>
          <w:color w:val="6E6158"/>
        </w:rPr>
        <w:t>Court,</w:t>
      </w:r>
      <w:r>
        <w:rPr>
          <w:color w:val="6E6158"/>
          <w:spacing w:val="29"/>
        </w:rPr>
        <w:t> </w:t>
      </w:r>
      <w:r>
        <w:rPr>
          <w:color w:val="6E6158"/>
        </w:rPr>
        <w:t>District</w:t>
      </w:r>
      <w:r>
        <w:rPr>
          <w:color w:val="6E6158"/>
          <w:spacing w:val="29"/>
        </w:rPr>
        <w:t> </w:t>
      </w:r>
      <w:r>
        <w:rPr>
          <w:color w:val="6E6158"/>
        </w:rPr>
        <w:t>Court,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Arizona</w:t>
      </w:r>
      <w:r>
        <w:rPr>
          <w:color w:val="6E6158"/>
          <w:spacing w:val="29"/>
        </w:rPr>
        <w:t> </w:t>
      </w:r>
      <w:r>
        <w:rPr>
          <w:color w:val="6E6158"/>
        </w:rPr>
        <w:t>Supreme</w:t>
      </w:r>
      <w:r>
        <w:rPr>
          <w:color w:val="6E6158"/>
          <w:spacing w:val="29"/>
        </w:rPr>
        <w:t> </w:t>
      </w:r>
      <w:r>
        <w:rPr>
          <w:color w:val="6E6158"/>
        </w:rPr>
        <w:t>Court.</w:t>
      </w:r>
      <w:r>
        <w:rPr>
          <w:color w:val="6E6158"/>
          <w:spacing w:val="29"/>
        </w:rPr>
        <w:t> </w:t>
      </w:r>
      <w:r>
        <w:rPr>
          <w:color w:val="6E6158"/>
        </w:rPr>
        <w:t>He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</w:p>
    <w:p>
      <w:pPr>
        <w:pStyle w:val="BodyText"/>
        <w:spacing w:line="302" w:lineRule="auto" w:before="1"/>
        <w:ind w:left="99" w:right="347"/>
      </w:pPr>
      <w:r>
        <w:rPr>
          <w:color w:val="6E6158"/>
        </w:rPr>
        <w:t>adept at litigation matters involving the rapidly evolving cannabis industry and partnered on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precedent-setting</w:t>
      </w:r>
      <w:r>
        <w:rPr>
          <w:color w:val="6E6158"/>
          <w:spacing w:val="40"/>
        </w:rPr>
        <w:t> </w:t>
      </w:r>
      <w:r>
        <w:rPr>
          <w:color w:val="6E6158"/>
        </w:rPr>
        <w:t>bankruptcy</w:t>
      </w:r>
      <w:r>
        <w:rPr>
          <w:color w:val="6E6158"/>
          <w:spacing w:val="40"/>
        </w:rPr>
        <w:t> </w:t>
      </w:r>
      <w:r>
        <w:rPr>
          <w:color w:val="6E6158"/>
        </w:rPr>
        <w:t>case</w:t>
      </w:r>
      <w:r>
        <w:rPr>
          <w:color w:val="6E6158"/>
          <w:spacing w:val="40"/>
        </w:rPr>
        <w:t>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marijuana</w:t>
      </w:r>
      <w:r>
        <w:rPr>
          <w:color w:val="6E6158"/>
          <w:spacing w:val="40"/>
        </w:rPr>
        <w:t> </w:t>
      </w:r>
      <w:r>
        <w:rPr>
          <w:color w:val="6E6158"/>
        </w:rPr>
        <w:t>investors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distributors.</w:t>
      </w:r>
    </w:p>
    <w:p>
      <w:pPr>
        <w:pStyle w:val="BodyText"/>
        <w:spacing w:line="295" w:lineRule="auto" w:before="186"/>
        <w:ind w:left="99" w:right="108"/>
      </w:pPr>
      <w:r>
        <w:rPr>
          <w:color w:val="6E6158"/>
        </w:rPr>
        <w:t>Growing up near the O.K. Corral in Tombstone, Arizona, where his dad was a park ranger who</w:t>
      </w:r>
      <w:r>
        <w:rPr>
          <w:color w:val="6E6158"/>
          <w:spacing w:val="40"/>
        </w:rPr>
        <w:t> </w:t>
      </w:r>
      <w:r>
        <w:rPr>
          <w:color w:val="6E6158"/>
        </w:rPr>
        <w:t>helped</w:t>
      </w:r>
      <w:r>
        <w:rPr>
          <w:color w:val="6E6158"/>
          <w:spacing w:val="20"/>
        </w:rPr>
        <w:t> </w:t>
      </w:r>
      <w:r>
        <w:rPr>
          <w:color w:val="6E6158"/>
        </w:rPr>
        <w:t>open</w:t>
      </w:r>
      <w:r>
        <w:rPr>
          <w:color w:val="6E6158"/>
          <w:spacing w:val="20"/>
        </w:rPr>
        <w:t> </w:t>
      </w:r>
      <w:r>
        <w:rPr>
          <w:color w:val="6E6158"/>
        </w:rPr>
        <w:t>Kartchner</w:t>
      </w:r>
      <w:r>
        <w:rPr>
          <w:color w:val="6E6158"/>
          <w:spacing w:val="20"/>
        </w:rPr>
        <w:t> </w:t>
      </w:r>
      <w:r>
        <w:rPr>
          <w:color w:val="6E6158"/>
        </w:rPr>
        <w:t>Caverns</w:t>
      </w:r>
      <w:r>
        <w:rPr>
          <w:color w:val="6E6158"/>
          <w:spacing w:val="20"/>
        </w:rPr>
        <w:t> </w:t>
      </w:r>
      <w:r>
        <w:rPr>
          <w:color w:val="6E6158"/>
        </w:rPr>
        <w:t>to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public,</w:t>
      </w:r>
      <w:r>
        <w:rPr>
          <w:color w:val="6E6158"/>
          <w:spacing w:val="20"/>
        </w:rPr>
        <w:t> </w:t>
      </w:r>
      <w:r>
        <w:rPr>
          <w:color w:val="6E6158"/>
        </w:rPr>
        <w:t>Anthony</w:t>
      </w:r>
      <w:r>
        <w:rPr>
          <w:color w:val="6E6158"/>
          <w:spacing w:val="20"/>
        </w:rPr>
        <w:t> </w:t>
      </w:r>
      <w:r>
        <w:rPr>
          <w:color w:val="6E6158"/>
        </w:rPr>
        <w:t>has</w:t>
      </w:r>
      <w:r>
        <w:rPr>
          <w:color w:val="6E6158"/>
          <w:spacing w:val="20"/>
        </w:rPr>
        <w:t> </w:t>
      </w:r>
      <w:r>
        <w:rPr>
          <w:color w:val="6E6158"/>
        </w:rPr>
        <w:t>always</w:t>
      </w:r>
      <w:r>
        <w:rPr>
          <w:color w:val="6E6158"/>
          <w:spacing w:val="20"/>
        </w:rPr>
        <w:t> </w:t>
      </w:r>
      <w:r>
        <w:rPr>
          <w:color w:val="6E6158"/>
        </w:rPr>
        <w:t>had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great</w:t>
      </w:r>
      <w:r>
        <w:rPr>
          <w:color w:val="6E6158"/>
          <w:spacing w:val="20"/>
        </w:rPr>
        <w:t> </w:t>
      </w:r>
      <w:r>
        <w:rPr>
          <w:color w:val="6E6158"/>
        </w:rPr>
        <w:t>love</w:t>
      </w:r>
      <w:r>
        <w:rPr>
          <w:color w:val="6E6158"/>
          <w:spacing w:val="20"/>
        </w:rPr>
        <w:t> </w:t>
      </w:r>
      <w:r>
        <w:rPr>
          <w:color w:val="6E6158"/>
        </w:rPr>
        <w:t>for</w:t>
      </w:r>
      <w:r>
        <w:rPr>
          <w:color w:val="6E6158"/>
          <w:spacing w:val="20"/>
        </w:rPr>
        <w:t> </w:t>
      </w:r>
      <w:r>
        <w:rPr>
          <w:color w:val="6E6158"/>
        </w:rPr>
        <w:t>Arizona – and helping people – and knew from an early age he wanted to be a lawyer. These passions</w:t>
      </w:r>
      <w:r>
        <w:rPr>
          <w:color w:val="6E6158"/>
          <w:spacing w:val="40"/>
        </w:rPr>
        <w:t> </w:t>
      </w:r>
      <w:r>
        <w:rPr>
          <w:color w:val="6E6158"/>
        </w:rPr>
        <w:t>shape his view of his civil practice to this day where selling and merging companies really means</w:t>
      </w:r>
      <w:r>
        <w:rPr>
          <w:color w:val="6E6158"/>
          <w:spacing w:val="40"/>
        </w:rPr>
        <w:t> </w:t>
      </w:r>
      <w:r>
        <w:rPr>
          <w:color w:val="6E6158"/>
        </w:rPr>
        <w:t>saving jobs, keeping companies open, and maintaining the legacy of small business owners and</w:t>
      </w:r>
      <w:r>
        <w:rPr>
          <w:color w:val="6E6158"/>
          <w:spacing w:val="40"/>
        </w:rPr>
        <w:t> </w:t>
      </w:r>
      <w:r>
        <w:rPr>
          <w:color w:val="6E6158"/>
        </w:rPr>
        <w:t>their jobs that support hundreds of family members.</w:t>
      </w:r>
    </w:p>
    <w:p>
      <w:pPr>
        <w:pStyle w:val="BodyText"/>
        <w:spacing w:line="292" w:lineRule="auto" w:before="201"/>
        <w:ind w:left="99" w:right="347"/>
      </w:pPr>
      <w:r>
        <w:rPr>
          <w:color w:val="6E6158"/>
        </w:rPr>
        <w:t>Outside his work as a debt attorney, Anthony loves spending time in the great outdoors with his</w:t>
      </w:r>
      <w:r>
        <w:rPr>
          <w:color w:val="6E6158"/>
          <w:spacing w:val="40"/>
        </w:rPr>
        <w:t> </w:t>
      </w:r>
      <w:r>
        <w:rPr>
          <w:color w:val="6E6158"/>
        </w:rPr>
        <w:t>wife and three kids, exploring and camping in areas like Prescott, Cottonwood, Show Low, the</w:t>
      </w:r>
      <w:r>
        <w:rPr>
          <w:color w:val="6E6158"/>
          <w:spacing w:val="40"/>
        </w:rPr>
        <w:t> </w:t>
      </w:r>
      <w:r>
        <w:rPr>
          <w:color w:val="6E6158"/>
        </w:rPr>
        <w:t>North Rim of the Grand Canyon and the Carlsbad Caverns. Although he is a lifelong Cubs fan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grew</w:t>
      </w:r>
      <w:r>
        <w:rPr>
          <w:color w:val="6E6158"/>
          <w:spacing w:val="23"/>
        </w:rPr>
        <w:t> </w:t>
      </w:r>
      <w:r>
        <w:rPr>
          <w:color w:val="6E6158"/>
        </w:rPr>
        <w:t>up</w:t>
      </w:r>
      <w:r>
        <w:rPr>
          <w:color w:val="6E6158"/>
          <w:spacing w:val="23"/>
        </w:rPr>
        <w:t> </w:t>
      </w:r>
      <w:r>
        <w:rPr>
          <w:color w:val="6E6158"/>
        </w:rPr>
        <w:t>listening</w:t>
      </w:r>
      <w:r>
        <w:rPr>
          <w:color w:val="6E6158"/>
          <w:spacing w:val="23"/>
        </w:rPr>
        <w:t> </w:t>
      </w:r>
      <w:r>
        <w:rPr>
          <w:color w:val="6E6158"/>
        </w:rPr>
        <w:t>to</w:t>
      </w:r>
      <w:r>
        <w:rPr>
          <w:color w:val="6E6158"/>
          <w:spacing w:val="23"/>
        </w:rPr>
        <w:t> </w:t>
      </w:r>
      <w:r>
        <w:rPr>
          <w:color w:val="6E6158"/>
        </w:rPr>
        <w:t>Harry</w:t>
      </w:r>
      <w:r>
        <w:rPr>
          <w:color w:val="6E6158"/>
          <w:spacing w:val="23"/>
        </w:rPr>
        <w:t> </w:t>
      </w:r>
      <w:r>
        <w:rPr>
          <w:color w:val="6E6158"/>
        </w:rPr>
        <w:t>Caray</w:t>
      </w:r>
      <w:r>
        <w:rPr>
          <w:color w:val="6E6158"/>
          <w:spacing w:val="23"/>
        </w:rPr>
        <w:t> </w:t>
      </w:r>
      <w:r>
        <w:rPr>
          <w:color w:val="6E6158"/>
        </w:rPr>
        <w:t>on</w:t>
      </w:r>
      <w:r>
        <w:rPr>
          <w:color w:val="6E6158"/>
          <w:spacing w:val="23"/>
        </w:rPr>
        <w:t> </w:t>
      </w:r>
      <w:r>
        <w:rPr>
          <w:color w:val="6E6158"/>
        </w:rPr>
        <w:t>WGN</w:t>
      </w:r>
      <w:r>
        <w:rPr>
          <w:color w:val="6E6158"/>
          <w:spacing w:val="23"/>
        </w:rPr>
        <w:t> </w:t>
      </w:r>
      <w:r>
        <w:rPr>
          <w:color w:val="6E6158"/>
        </w:rPr>
        <w:t>Radio,</w:t>
      </w:r>
      <w:r>
        <w:rPr>
          <w:color w:val="6E6158"/>
          <w:spacing w:val="23"/>
        </w:rPr>
        <w:t> </w:t>
      </w:r>
      <w:r>
        <w:rPr>
          <w:color w:val="6E6158"/>
        </w:rPr>
        <w:t>his</w:t>
      </w:r>
      <w:r>
        <w:rPr>
          <w:color w:val="6E6158"/>
          <w:spacing w:val="23"/>
        </w:rPr>
        <w:t> </w:t>
      </w:r>
      <w:r>
        <w:rPr>
          <w:color w:val="6E6158"/>
        </w:rPr>
        <w:t>love</w:t>
      </w:r>
      <w:r>
        <w:rPr>
          <w:color w:val="6E6158"/>
          <w:spacing w:val="23"/>
        </w:rPr>
        <w:t> </w:t>
      </w:r>
      <w:r>
        <w:rPr>
          <w:color w:val="6E6158"/>
        </w:rPr>
        <w:t>for</w:t>
      </w:r>
      <w:r>
        <w:rPr>
          <w:color w:val="6E6158"/>
          <w:spacing w:val="23"/>
        </w:rPr>
        <w:t> </w:t>
      </w:r>
      <w:r>
        <w:rPr>
          <w:color w:val="6E6158"/>
        </w:rPr>
        <w:t>baseball</w:t>
      </w:r>
      <w:r>
        <w:rPr>
          <w:color w:val="6E6158"/>
          <w:spacing w:val="23"/>
        </w:rPr>
        <w:t> </w:t>
      </w:r>
      <w:r>
        <w:rPr>
          <w:color w:val="6E6158"/>
        </w:rPr>
        <w:t>carried</w:t>
      </w:r>
      <w:r>
        <w:rPr>
          <w:color w:val="6E6158"/>
          <w:spacing w:val="23"/>
        </w:rPr>
        <w:t> </w:t>
      </w:r>
      <w:r>
        <w:rPr>
          <w:color w:val="6E6158"/>
        </w:rPr>
        <w:t>into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347"/>
      </w:pPr>
      <w:r>
        <w:rPr>
          <w:color w:val="6E6158"/>
        </w:rPr>
        <w:t>Southwest, and he now often enjoys a cold beer with a hot dog at Arizona </w:t>
      </w:r>
      <w:r>
        <w:rPr>
          <w:color w:val="6E6158"/>
        </w:rPr>
        <w:t>Diamondbacks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games.</w:t>
      </w:r>
    </w:p>
    <w:p>
      <w:pPr>
        <w:pStyle w:val="Heading2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spacing w:line="398" w:lineRule="auto" w:before="0"/>
        <w:ind w:left="99" w:right="2493" w:firstLine="0"/>
        <w:jc w:val="left"/>
        <w:rPr>
          <w:sz w:val="19"/>
        </w:rPr>
      </w:pPr>
      <w:r>
        <w:rPr>
          <w:color w:val="6E6158"/>
          <w:sz w:val="19"/>
        </w:rPr>
        <w:t>J.D., University of Arizona, James E. Rogers College of Law, </w:t>
      </w:r>
      <w:r>
        <w:rPr>
          <w:i/>
          <w:color w:val="6E6158"/>
          <w:sz w:val="20"/>
        </w:rPr>
        <w:t>cum </w:t>
      </w:r>
      <w:r>
        <w:rPr>
          <w:i/>
          <w:color w:val="6E6158"/>
          <w:sz w:val="20"/>
        </w:rPr>
        <w:t>laude</w:t>
      </w:r>
      <w:r>
        <w:rPr>
          <w:i/>
          <w:color w:val="6E6158"/>
          <w:sz w:val="20"/>
        </w:rPr>
        <w:t> </w:t>
      </w:r>
      <w:r>
        <w:rPr>
          <w:color w:val="6E6158"/>
          <w:sz w:val="19"/>
        </w:rPr>
        <w:t>B.S., Political Science, Northern Arizona University, s</w:t>
      </w:r>
      <w:r>
        <w:rPr>
          <w:i/>
          <w:color w:val="6E6158"/>
          <w:sz w:val="20"/>
        </w:rPr>
        <w:t>umma cum laude</w:t>
      </w:r>
      <w:r>
        <w:rPr>
          <w:i/>
          <w:color w:val="6E6158"/>
          <w:sz w:val="20"/>
        </w:rPr>
        <w:t> </w:t>
      </w:r>
      <w:r>
        <w:rPr>
          <w:color w:val="6E6158"/>
          <w:sz w:val="19"/>
        </w:rPr>
        <w:t>Staff Writer, </w:t>
      </w:r>
      <w:r>
        <w:rPr>
          <w:i/>
          <w:color w:val="6E6158"/>
          <w:sz w:val="20"/>
        </w:rPr>
        <w:t>Arizona Law Review, </w:t>
      </w:r>
      <w:r>
        <w:rPr>
          <w:color w:val="6E6158"/>
          <w:sz w:val="19"/>
        </w:rPr>
        <w:t>2005-2007</w:t>
      </w:r>
    </w:p>
    <w:p>
      <w:pPr>
        <w:pStyle w:val="BodyText"/>
        <w:spacing w:line="427" w:lineRule="auto" w:before="10"/>
        <w:ind w:left="99" w:right="1965"/>
      </w:pPr>
      <w:r>
        <w:rPr>
          <w:color w:val="6E6158"/>
        </w:rPr>
        <w:t>Law</w:t>
      </w:r>
      <w:r>
        <w:rPr>
          <w:color w:val="6E6158"/>
          <w:spacing w:val="40"/>
        </w:rPr>
        <w:t> </w:t>
      </w:r>
      <w:r>
        <w:rPr>
          <w:color w:val="6E6158"/>
        </w:rPr>
        <w:t>Clerk,</w:t>
      </w:r>
      <w:r>
        <w:rPr>
          <w:color w:val="6E6158"/>
          <w:spacing w:val="40"/>
        </w:rPr>
        <w:t> </w:t>
      </w:r>
      <w:r>
        <w:rPr>
          <w:color w:val="6E6158"/>
        </w:rPr>
        <w:t>Pima</w:t>
      </w:r>
      <w:r>
        <w:rPr>
          <w:color w:val="6E6158"/>
          <w:spacing w:val="40"/>
        </w:rPr>
        <w:t> </w:t>
      </w:r>
      <w:r>
        <w:rPr>
          <w:color w:val="6E6158"/>
        </w:rPr>
        <w:t>County</w:t>
      </w:r>
      <w:r>
        <w:rPr>
          <w:color w:val="6E6158"/>
          <w:spacing w:val="40"/>
        </w:rPr>
        <w:t> </w:t>
      </w:r>
      <w:r>
        <w:rPr>
          <w:color w:val="6E6158"/>
        </w:rPr>
        <w:t>Attorney’s</w:t>
      </w:r>
      <w:r>
        <w:rPr>
          <w:color w:val="6E6158"/>
          <w:spacing w:val="40"/>
        </w:rPr>
        <w:t> </w:t>
      </w:r>
      <w:r>
        <w:rPr>
          <w:color w:val="6E6158"/>
        </w:rPr>
        <w:t>Office,</w:t>
      </w:r>
      <w:r>
        <w:rPr>
          <w:color w:val="6E6158"/>
          <w:spacing w:val="40"/>
        </w:rPr>
        <w:t> </w:t>
      </w:r>
      <w:r>
        <w:rPr>
          <w:color w:val="6E6158"/>
        </w:rPr>
        <w:t>Criminal</w:t>
      </w:r>
      <w:r>
        <w:rPr>
          <w:color w:val="6E6158"/>
          <w:spacing w:val="40"/>
        </w:rPr>
        <w:t> </w:t>
      </w:r>
      <w:r>
        <w:rPr>
          <w:color w:val="6E6158"/>
        </w:rPr>
        <w:t>Division,</w:t>
      </w:r>
      <w:r>
        <w:rPr>
          <w:color w:val="6E6158"/>
          <w:spacing w:val="40"/>
        </w:rPr>
        <w:t> </w:t>
      </w:r>
      <w:r>
        <w:rPr>
          <w:color w:val="6E6158"/>
        </w:rPr>
        <w:t>2005-2006 Extern, The Hon. David C. Bury, U.S. District Court, District of Arizona, Fall </w:t>
      </w:r>
      <w:r>
        <w:rPr>
          <w:color w:val="6E6158"/>
        </w:rPr>
        <w:t>2005</w:t>
      </w:r>
    </w:p>
    <w:p>
      <w:pPr>
        <w:spacing w:before="276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BodyText"/>
        <w:spacing w:line="420" w:lineRule="auto"/>
        <w:ind w:left="99" w:right="8044"/>
      </w:pPr>
      <w:r>
        <w:rPr>
          <w:color w:val="6E6158"/>
          <w:spacing w:val="-2"/>
        </w:rPr>
        <w:t>Bankruptcy Litigation</w:t>
      </w:r>
    </w:p>
    <w:p>
      <w:pPr>
        <w:pStyle w:val="BodyText"/>
        <w:spacing w:line="420" w:lineRule="auto" w:before="121"/>
        <w:ind w:left="99" w:right="6493"/>
      </w:pPr>
      <w:r>
        <w:rPr>
          <w:color w:val="6E6158"/>
        </w:rPr>
        <w:t>Financial </w:t>
      </w:r>
      <w:r>
        <w:rPr>
          <w:color w:val="6E6158"/>
        </w:rPr>
        <w:t>Restructuring Business Litigation</w:t>
      </w:r>
    </w:p>
    <w:p>
      <w:pPr>
        <w:pStyle w:val="Heading2"/>
        <w:spacing w:before="29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253"/>
        <w:ind w:left="99" w:right="216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Bankruptcy and Creditor Debtor Rights / Insolvency </w:t>
      </w:r>
      <w:r>
        <w:rPr>
          <w:color w:val="6E6158"/>
          <w:sz w:val="19"/>
        </w:rPr>
        <w:t>and Reorganization Law, 2019-2025</w:t>
      </w:r>
    </w:p>
    <w:p>
      <w:pPr>
        <w:spacing w:line="415" w:lineRule="auto" w:before="121"/>
        <w:ind w:left="99" w:right="3329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3"/>
          <w:sz w:val="20"/>
        </w:rPr>
        <w:t> </w:t>
      </w:r>
      <w:r>
        <w:rPr>
          <w:color w:val="6E6158"/>
          <w:sz w:val="19"/>
        </w:rPr>
        <w:t>Creditor/Debtor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Rights,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2022-</w:t>
      </w:r>
      <w:r>
        <w:rPr>
          <w:color w:val="6E6158"/>
          <w:sz w:val="19"/>
        </w:rPr>
        <w:t>2026 Top Lawyers, Phoenix Magazine, 2025</w:t>
      </w:r>
    </w:p>
    <w:p>
      <w:pPr>
        <w:pStyle w:val="BodyText"/>
        <w:spacing w:line="410" w:lineRule="auto" w:before="5"/>
        <w:ind w:left="99" w:right="3329"/>
      </w:pPr>
      <w:r>
        <w:rPr>
          <w:color w:val="6E6158"/>
        </w:rPr>
        <w:t>Member of the Year, Maricopa County Bar Association, </w:t>
      </w:r>
      <w:r>
        <w:rPr>
          <w:color w:val="6E6158"/>
        </w:rPr>
        <w:t>2024 </w:t>
      </w:r>
      <w:r>
        <w:rPr>
          <w:i/>
          <w:color w:val="6E6158"/>
          <w:sz w:val="20"/>
        </w:rPr>
        <w:t>Southwest Rising Stars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</w:rPr>
        <w:t>, Creditor/Debtor Rights, 2015-2021 Emerging Leaders Award, M&amp;A Advisors, 2018</w:t>
      </w:r>
    </w:p>
    <w:p>
      <w:pPr>
        <w:pStyle w:val="BodyText"/>
        <w:spacing w:before="8"/>
        <w:ind w:left="99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1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3"/>
        </w:rPr>
        <w:t> </w:t>
      </w:r>
      <w:r>
        <w:rPr>
          <w:color w:val="6E6158"/>
        </w:rPr>
        <w:t>Review</w:t>
      </w:r>
      <w:r>
        <w:rPr>
          <w:color w:val="6E6158"/>
          <w:spacing w:val="12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Quoted,</w:t>
      </w:r>
      <w:r>
        <w:rPr>
          <w:color w:val="6E6158"/>
          <w:spacing w:val="9"/>
        </w:rPr>
        <w:t> </w:t>
      </w:r>
      <w:r>
        <w:rPr>
          <w:color w:val="6E6158"/>
        </w:rPr>
        <w:t>“Supplement</w:t>
      </w:r>
      <w:r>
        <w:rPr>
          <w:color w:val="6E6158"/>
          <w:spacing w:val="9"/>
        </w:rPr>
        <w:t> </w:t>
      </w:r>
      <w:r>
        <w:rPr>
          <w:color w:val="6E6158"/>
        </w:rPr>
        <w:t>Co.</w:t>
      </w:r>
      <w:r>
        <w:rPr>
          <w:color w:val="6E6158"/>
          <w:spacing w:val="9"/>
        </w:rPr>
        <w:t> </w:t>
      </w:r>
      <w:r>
        <w:rPr>
          <w:color w:val="6E6158"/>
        </w:rPr>
        <w:t>Inks</w:t>
      </w:r>
      <w:r>
        <w:rPr>
          <w:color w:val="6E6158"/>
          <w:spacing w:val="10"/>
        </w:rPr>
        <w:t> </w:t>
      </w:r>
      <w:r>
        <w:rPr>
          <w:color w:val="6E6158"/>
        </w:rPr>
        <w:t>$1.7M</w:t>
      </w:r>
      <w:r>
        <w:rPr>
          <w:color w:val="6E6158"/>
          <w:spacing w:val="9"/>
        </w:rPr>
        <w:t> </w:t>
      </w:r>
      <w:r>
        <w:rPr>
          <w:color w:val="6E6158"/>
        </w:rPr>
        <w:t>Deal</w:t>
      </w:r>
      <w:r>
        <w:rPr>
          <w:color w:val="6E6158"/>
          <w:spacing w:val="9"/>
        </w:rPr>
        <w:t> </w:t>
      </w:r>
      <w:r>
        <w:rPr>
          <w:color w:val="6E6158"/>
        </w:rPr>
        <w:t>Ending</w:t>
      </w:r>
      <w:r>
        <w:rPr>
          <w:color w:val="6E6158"/>
          <w:spacing w:val="9"/>
        </w:rPr>
        <w:t> </w:t>
      </w:r>
      <w:r>
        <w:rPr>
          <w:color w:val="6E6158"/>
        </w:rPr>
        <w:t>Toxic</w:t>
      </w:r>
      <w:r>
        <w:rPr>
          <w:color w:val="6E6158"/>
          <w:spacing w:val="10"/>
        </w:rPr>
        <w:t> </w:t>
      </w:r>
      <w:r>
        <w:rPr>
          <w:color w:val="6E6158"/>
        </w:rPr>
        <w:t>Drink</w:t>
      </w:r>
      <w:r>
        <w:rPr>
          <w:color w:val="6E6158"/>
          <w:spacing w:val="9"/>
        </w:rPr>
        <w:t> </w:t>
      </w:r>
      <w:r>
        <w:rPr>
          <w:color w:val="6E6158"/>
        </w:rPr>
        <w:t>Claims”,</w:t>
      </w:r>
      <w:r>
        <w:rPr>
          <w:color w:val="6E6158"/>
          <w:spacing w:val="9"/>
        </w:rPr>
        <w:t> </w:t>
      </w:r>
      <w:r>
        <w:rPr>
          <w:i/>
          <w:color w:val="6E6158"/>
          <w:sz w:val="20"/>
        </w:rPr>
        <w:t>Law360</w:t>
      </w:r>
      <w:r>
        <w:rPr>
          <w:color w:val="6E6158"/>
        </w:rPr>
        <w:t>,</w:t>
      </w:r>
      <w:r>
        <w:rPr>
          <w:color w:val="6E6158"/>
          <w:spacing w:val="10"/>
        </w:rPr>
        <w:t> </w:t>
      </w:r>
      <w:r>
        <w:rPr>
          <w:color w:val="6E6158"/>
        </w:rPr>
        <w:t>January</w:t>
      </w:r>
      <w:r>
        <w:rPr>
          <w:color w:val="6E6158"/>
          <w:spacing w:val="9"/>
        </w:rPr>
        <w:t> </w:t>
      </w:r>
      <w:r>
        <w:rPr>
          <w:color w:val="6E6158"/>
        </w:rPr>
        <w:t>12,</w:t>
      </w:r>
      <w:r>
        <w:rPr>
          <w:color w:val="6E6158"/>
          <w:spacing w:val="9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302" w:lineRule="auto" w:before="172"/>
        <w:ind w:left="99" w:right="216"/>
      </w:pPr>
      <w:hyperlink r:id="rId11">
        <w:r>
          <w:rPr>
            <w:color w:val="F5821F"/>
          </w:rPr>
          <w:t>Interview, “Engage with people and build relationships in everything you do and life won’t </w:t>
        </w:r>
        <w:r>
          <w:rPr>
            <w:color w:val="F5821F"/>
          </w:rPr>
          <w:t>seem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like work,” Fennemore Blog, December 9, 2021</w:t>
        </w:r>
      </w:hyperlink>
    </w:p>
    <w:p>
      <w:pPr>
        <w:pStyle w:val="BodyText"/>
        <w:spacing w:before="113"/>
        <w:ind w:left="99"/>
      </w:pPr>
      <w:hyperlink r:id="rId12">
        <w:r>
          <w:rPr>
            <w:color w:val="FF8100"/>
          </w:rPr>
          <w:t>Co-author,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“Tenant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Defaults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Bankruptcies,”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May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27,</w:t>
        </w:r>
        <w:r>
          <w:rPr>
            <w:color w:val="FF8100"/>
            <w:spacing w:val="12"/>
          </w:rPr>
          <w:t> </w:t>
        </w:r>
        <w:r>
          <w:rPr>
            <w:color w:val="FF8100"/>
            <w:spacing w:val="-4"/>
          </w:rPr>
          <w:t>2020</w:t>
        </w:r>
      </w:hyperlink>
    </w:p>
    <w:p>
      <w:pPr>
        <w:pStyle w:val="BodyText"/>
        <w:spacing w:line="292" w:lineRule="auto" w:before="174"/>
        <w:ind w:left="99" w:right="216"/>
      </w:pPr>
      <w:hyperlink r:id="rId13">
        <w:r>
          <w:rPr>
            <w:color w:val="FF8100"/>
          </w:rPr>
          <w:t>Author, “The CARES Act – Amendments to the Small Business Reorganization Act,” </w:t>
        </w:r>
        <w:r>
          <w:rPr>
            <w:color w:val="FF8100"/>
          </w:rPr>
          <w:t>Fennemore</w:t>
        </w:r>
      </w:hyperlink>
      <w:r>
        <w:rPr>
          <w:color w:val="FF8100"/>
        </w:rPr>
        <w:t> </w:t>
      </w:r>
      <w:hyperlink r:id="rId13">
        <w:r>
          <w:rPr>
            <w:color w:val="FF8100"/>
          </w:rPr>
          <w:t>Client Alert, March 31, 2020</w:t>
        </w:r>
      </w:hyperlink>
    </w:p>
    <w:p>
      <w:pPr>
        <w:pStyle w:val="BodyText"/>
        <w:spacing w:before="131"/>
        <w:ind w:left="99"/>
      </w:pPr>
      <w:hyperlink r:id="rId14">
        <w:r>
          <w:rPr>
            <w:color w:val="FF8100"/>
          </w:rPr>
          <w:t>Co-author,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“Effects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Trademark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Licenses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in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Bankruptcy,”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Client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Alert,</w:t>
        </w:r>
        <w:r>
          <w:rPr>
            <w:color w:val="FF8100"/>
            <w:spacing w:val="12"/>
          </w:rPr>
          <w:t> </w:t>
        </w:r>
        <w:r>
          <w:rPr>
            <w:color w:val="FF8100"/>
          </w:rPr>
          <w:t>March</w:t>
        </w:r>
        <w:r>
          <w:rPr>
            <w:color w:val="FF8100"/>
            <w:spacing w:val="12"/>
          </w:rPr>
          <w:t> </w:t>
        </w:r>
        <w:r>
          <w:rPr>
            <w:color w:val="FF8100"/>
            <w:spacing w:val="-2"/>
          </w:rPr>
          <w:t>20,2020</w:t>
        </w:r>
      </w:hyperlink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spacing w:line="288" w:lineRule="auto" w:before="73"/>
        <w:ind w:left="99" w:right="216" w:firstLine="0"/>
        <w:jc w:val="left"/>
        <w:rPr>
          <w:sz w:val="19"/>
        </w:rPr>
      </w:pPr>
      <w:hyperlink r:id="rId15">
        <w:r>
          <w:rPr>
            <w:color w:val="FF8100"/>
            <w:sz w:val="19"/>
          </w:rPr>
          <w:t>Co-author, “The Evolving Demand for Retail Spaces,”</w:t>
        </w:r>
      </w:hyperlink>
      <w:r>
        <w:rPr>
          <w:color w:val="FF8100"/>
          <w:sz w:val="19"/>
        </w:rPr>
        <w:t> </w:t>
      </w:r>
      <w:hyperlink r:id="rId15">
        <w:r>
          <w:rPr>
            <w:i/>
            <w:color w:val="FF8100"/>
            <w:sz w:val="20"/>
          </w:rPr>
          <w:t>Commercial Property Executive,</w:t>
        </w:r>
      </w:hyperlink>
      <w:r>
        <w:rPr>
          <w:i/>
          <w:color w:val="FF8100"/>
          <w:sz w:val="20"/>
        </w:rPr>
        <w:t> </w:t>
      </w:r>
      <w:hyperlink r:id="rId15">
        <w:r>
          <w:rPr>
            <w:color w:val="FF8100"/>
            <w:sz w:val="19"/>
          </w:rPr>
          <w:t>February</w:t>
        </w:r>
      </w:hyperlink>
      <w:r>
        <w:rPr>
          <w:color w:val="FF8100"/>
          <w:sz w:val="19"/>
        </w:rPr>
        <w:t> </w:t>
      </w:r>
      <w:hyperlink r:id="rId15">
        <w:r>
          <w:rPr>
            <w:color w:val="FF8100"/>
            <w:sz w:val="19"/>
          </w:rPr>
          <w:t>4, 2019</w:t>
        </w:r>
      </w:hyperlink>
    </w:p>
    <w:p>
      <w:pPr>
        <w:pStyle w:val="BodyText"/>
        <w:spacing w:line="292" w:lineRule="auto" w:before="136"/>
        <w:ind w:left="99" w:right="264"/>
      </w:pPr>
      <w:r>
        <w:rPr>
          <w:color w:val="6E6158"/>
        </w:rPr>
        <w:t>Speaker, “Imagine the (Bankruptcy) Possibilities,” State Bar of Arizona 2018 Annual </w:t>
      </w:r>
      <w:r>
        <w:rPr>
          <w:color w:val="6E6158"/>
        </w:rPr>
        <w:t>Convention, June 29, 2018</w:t>
      </w:r>
    </w:p>
    <w:p>
      <w:pPr>
        <w:pStyle w:val="BodyText"/>
        <w:spacing w:before="124"/>
        <w:ind w:left="99"/>
      </w:pPr>
      <w:r>
        <w:rPr>
          <w:color w:val="6E6158"/>
        </w:rPr>
        <w:t>Speaker,</w:t>
      </w:r>
      <w:r>
        <w:rPr>
          <w:color w:val="6E6158"/>
          <w:spacing w:val="7"/>
        </w:rPr>
        <w:t> </w:t>
      </w:r>
      <w:r>
        <w:rPr>
          <w:color w:val="6E6158"/>
        </w:rPr>
        <w:t>“Ethics</w:t>
      </w:r>
      <w:r>
        <w:rPr>
          <w:color w:val="6E6158"/>
          <w:spacing w:val="8"/>
        </w:rPr>
        <w:t> </w:t>
      </w:r>
      <w:r>
        <w:rPr>
          <w:color w:val="6E6158"/>
        </w:rPr>
        <w:t>Issues</w:t>
      </w:r>
      <w:r>
        <w:rPr>
          <w:color w:val="6E6158"/>
          <w:spacing w:val="7"/>
        </w:rPr>
        <w:t> </w:t>
      </w:r>
      <w:r>
        <w:rPr>
          <w:color w:val="6E6158"/>
        </w:rPr>
        <w:t>for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21st</w:t>
      </w:r>
      <w:r>
        <w:rPr>
          <w:color w:val="6E6158"/>
          <w:spacing w:val="7"/>
        </w:rPr>
        <w:t> </w:t>
      </w:r>
      <w:r>
        <w:rPr>
          <w:color w:val="6E6158"/>
        </w:rPr>
        <w:t>Century</w:t>
      </w:r>
      <w:r>
        <w:rPr>
          <w:color w:val="6E6158"/>
          <w:spacing w:val="8"/>
        </w:rPr>
        <w:t> </w:t>
      </w:r>
      <w:r>
        <w:rPr>
          <w:color w:val="6E6158"/>
        </w:rPr>
        <w:t>Lawyer,”</w:t>
      </w:r>
      <w:r>
        <w:rPr>
          <w:color w:val="6E6158"/>
          <w:spacing w:val="8"/>
        </w:rPr>
        <w:t> </w:t>
      </w:r>
      <w:r>
        <w:rPr>
          <w:color w:val="6E6158"/>
        </w:rPr>
        <w:t>State</w:t>
      </w:r>
      <w:r>
        <w:rPr>
          <w:color w:val="6E6158"/>
          <w:spacing w:val="7"/>
        </w:rPr>
        <w:t> </w:t>
      </w:r>
      <w:r>
        <w:rPr>
          <w:color w:val="6E6158"/>
        </w:rPr>
        <w:t>Bar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Arizona,</w:t>
      </w:r>
      <w:r>
        <w:rPr>
          <w:color w:val="6E6158"/>
          <w:spacing w:val="7"/>
        </w:rPr>
        <w:t> </w:t>
      </w:r>
      <w:r>
        <w:rPr>
          <w:color w:val="6E6158"/>
        </w:rPr>
        <w:t>June</w:t>
      </w:r>
      <w:r>
        <w:rPr>
          <w:color w:val="6E6158"/>
          <w:spacing w:val="8"/>
        </w:rPr>
        <w:t> </w:t>
      </w:r>
      <w:r>
        <w:rPr>
          <w:color w:val="6E6158"/>
        </w:rPr>
        <w:t>15,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302" w:lineRule="auto" w:before="174"/>
        <w:ind w:left="99" w:right="264"/>
      </w:pPr>
      <w:r>
        <w:rPr>
          <w:color w:val="6E6158"/>
        </w:rPr>
        <w:t>Speaker, “Dinner in Distress: Challenges and Solutions for the Restaurant Industry,” </w:t>
      </w:r>
      <w:r>
        <w:rPr>
          <w:color w:val="6E6158"/>
        </w:rPr>
        <w:t>Turnaround Management Association, Arizona Chapter, April 24, 2018</w:t>
      </w:r>
    </w:p>
    <w:p>
      <w:pPr>
        <w:pStyle w:val="BodyText"/>
        <w:spacing w:before="102"/>
        <w:ind w:left="99"/>
      </w:pPr>
      <w:r>
        <w:rPr>
          <w:color w:val="6E6158"/>
        </w:rPr>
        <w:t>Author,</w:t>
      </w:r>
      <w:r>
        <w:rPr>
          <w:color w:val="6E6158"/>
          <w:spacing w:val="6"/>
        </w:rPr>
        <w:t> </w:t>
      </w:r>
      <w:r>
        <w:rPr>
          <w:color w:val="6E6158"/>
        </w:rPr>
        <w:t>“Feedback:</w:t>
      </w:r>
      <w:r>
        <w:rPr>
          <w:color w:val="6E6158"/>
          <w:spacing w:val="7"/>
        </w:rPr>
        <w:t> </w:t>
      </w:r>
      <w:r>
        <w:rPr>
          <w:color w:val="6E6158"/>
        </w:rPr>
        <w:t>November</w:t>
      </w:r>
      <w:r>
        <w:rPr>
          <w:color w:val="6E6158"/>
          <w:spacing w:val="7"/>
        </w:rPr>
        <w:t> </w:t>
      </w:r>
      <w:r>
        <w:rPr>
          <w:color w:val="6E6158"/>
        </w:rPr>
        <w:t>2017,”</w:t>
      </w:r>
      <w:r>
        <w:rPr>
          <w:color w:val="6E6158"/>
          <w:spacing w:val="7"/>
        </w:rPr>
        <w:t> </w:t>
      </w:r>
      <w:r>
        <w:rPr>
          <w:i/>
          <w:color w:val="6E6158"/>
          <w:sz w:val="20"/>
        </w:rPr>
        <w:t>InBusiness</w:t>
      </w:r>
      <w:r>
        <w:rPr>
          <w:color w:val="6E6158"/>
        </w:rPr>
        <w:t>,</w:t>
      </w:r>
      <w:r>
        <w:rPr>
          <w:color w:val="6E6158"/>
          <w:spacing w:val="7"/>
        </w:rPr>
        <w:t> </w:t>
      </w:r>
      <w:r>
        <w:rPr>
          <w:color w:val="6E6158"/>
        </w:rPr>
        <w:t>November</w:t>
      </w:r>
      <w:r>
        <w:rPr>
          <w:color w:val="6E6158"/>
          <w:spacing w:val="7"/>
        </w:rPr>
        <w:t> </w:t>
      </w:r>
      <w:r>
        <w:rPr>
          <w:color w:val="6E6158"/>
        </w:rPr>
        <w:t>1,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line="292" w:lineRule="auto" w:before="172"/>
        <w:ind w:left="99"/>
      </w:pPr>
      <w:r>
        <w:rPr>
          <w:color w:val="6E6158"/>
        </w:rPr>
        <w:t>Moderator, “Technology in the Courtroom,” 25th Annual Southwest Bankruptcy </w:t>
      </w:r>
      <w:r>
        <w:rPr>
          <w:color w:val="6E6158"/>
        </w:rPr>
        <w:t>Conference, September 8, 2017</w:t>
      </w:r>
    </w:p>
    <w:p>
      <w:pPr>
        <w:pStyle w:val="BodyText"/>
        <w:spacing w:before="131"/>
        <w:ind w:left="99"/>
      </w:pP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“U.S.</w:t>
      </w:r>
      <w:r>
        <w:rPr>
          <w:color w:val="6E6158"/>
          <w:spacing w:val="10"/>
        </w:rPr>
        <w:t> </w:t>
      </w:r>
      <w:r>
        <w:rPr>
          <w:color w:val="6E6158"/>
        </w:rPr>
        <w:t>v.</w:t>
      </w:r>
      <w:r>
        <w:rPr>
          <w:color w:val="6E6158"/>
          <w:spacing w:val="10"/>
        </w:rPr>
        <w:t> </w:t>
      </w:r>
      <w:r>
        <w:rPr>
          <w:color w:val="6E6158"/>
        </w:rPr>
        <w:t>McIntosh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New</w:t>
      </w:r>
      <w:r>
        <w:rPr>
          <w:color w:val="6E6158"/>
          <w:spacing w:val="10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</w:rPr>
        <w:t>Circuit</w:t>
      </w:r>
      <w:r>
        <w:rPr>
          <w:color w:val="6E6158"/>
          <w:spacing w:val="11"/>
        </w:rPr>
        <w:t> </w:t>
      </w:r>
      <w:r>
        <w:rPr>
          <w:color w:val="6E6158"/>
        </w:rPr>
        <w:t>Case,”</w:t>
      </w:r>
      <w:r>
        <w:rPr>
          <w:color w:val="6E6158"/>
          <w:spacing w:val="10"/>
        </w:rPr>
        <w:t> </w:t>
      </w:r>
      <w:r>
        <w:rPr>
          <w:color w:val="6E6158"/>
        </w:rPr>
        <w:t>Fennemore</w:t>
      </w:r>
      <w:r>
        <w:rPr>
          <w:color w:val="6E6158"/>
          <w:spacing w:val="10"/>
        </w:rPr>
        <w:t> </w:t>
      </w:r>
      <w:r>
        <w:rPr>
          <w:color w:val="6E6158"/>
        </w:rPr>
        <w:t>Client</w:t>
      </w:r>
      <w:r>
        <w:rPr>
          <w:color w:val="6E6158"/>
          <w:spacing w:val="10"/>
        </w:rPr>
        <w:t> </w:t>
      </w:r>
      <w:r>
        <w:rPr>
          <w:color w:val="6E6158"/>
        </w:rPr>
        <w:t>Alert,</w:t>
      </w:r>
      <w:r>
        <w:rPr>
          <w:color w:val="6E6158"/>
          <w:spacing w:val="10"/>
        </w:rPr>
        <w:t> </w:t>
      </w:r>
      <w:r>
        <w:rPr>
          <w:color w:val="6E6158"/>
        </w:rPr>
        <w:t>August</w:t>
      </w:r>
      <w:r>
        <w:rPr>
          <w:color w:val="6E6158"/>
          <w:spacing w:val="10"/>
        </w:rPr>
        <w:t> </w:t>
      </w:r>
      <w:r>
        <w:rPr>
          <w:color w:val="6E6158"/>
        </w:rPr>
        <w:t>22,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2016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3329"/>
      </w:pPr>
      <w:r>
        <w:rPr>
          <w:color w:val="6E6158"/>
        </w:rPr>
        <w:t>Board Member, Habitat for Humanity of Central </w:t>
      </w:r>
      <w:r>
        <w:rPr>
          <w:color w:val="6E6158"/>
        </w:rPr>
        <w:t>Arizona Member, State Bar of Arizona</w:t>
      </w:r>
    </w:p>
    <w:p>
      <w:pPr>
        <w:pStyle w:val="BodyText"/>
        <w:spacing w:line="420" w:lineRule="auto" w:before="7"/>
        <w:ind w:left="99" w:right="4610"/>
      </w:pPr>
      <w:r>
        <w:rPr>
          <w:color w:val="6E6158"/>
        </w:rPr>
        <w:t>Trustee, Maricopa County Bar </w:t>
      </w:r>
      <w:r>
        <w:rPr>
          <w:color w:val="6E6158"/>
        </w:rPr>
        <w:t>Foundation Member, State Bar of Nevada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3"/>
        </w:rPr>
        <w:t> </w:t>
      </w:r>
      <w:r>
        <w:rPr>
          <w:color w:val="6E6158"/>
        </w:rPr>
        <w:t>Bankruptcy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Institute</w:t>
      </w:r>
    </w:p>
    <w:p>
      <w:pPr>
        <w:pStyle w:val="BodyText"/>
        <w:spacing w:line="427" w:lineRule="auto" w:before="173"/>
        <w:ind w:left="99" w:right="3703"/>
      </w:pPr>
      <w:r>
        <w:rPr>
          <w:color w:val="6E6158"/>
        </w:rPr>
        <w:t>Member, Arizona Bankruptcy American Inn of Court</w:t>
      </w:r>
      <w:r>
        <w:rPr>
          <w:color w:val="6E6158"/>
          <w:spacing w:val="80"/>
        </w:rPr>
        <w:t> </w:t>
      </w:r>
      <w:r>
        <w:rPr>
          <w:color w:val="6E6158"/>
        </w:rPr>
        <w:t>Planning Committee, Turnaround Management </w:t>
      </w:r>
      <w:r>
        <w:rPr>
          <w:color w:val="6E6158"/>
        </w:rPr>
        <w:t>Association</w:t>
      </w:r>
    </w:p>
    <w:p>
      <w:pPr>
        <w:pStyle w:val="BodyText"/>
        <w:spacing w:line="420" w:lineRule="auto"/>
        <w:ind w:left="99" w:right="2493"/>
      </w:pPr>
      <w:r>
        <w:rPr>
          <w:color w:val="6E6158"/>
        </w:rPr>
        <w:t>Immediate Past Chair, Bankruptcy Section, State Bar of </w:t>
      </w:r>
      <w:r>
        <w:rPr>
          <w:color w:val="6E6158"/>
        </w:rPr>
        <w:t>Arizona Immediate Past President, NPH USA Southwest Region</w:t>
      </w:r>
    </w:p>
    <w:p>
      <w:pPr>
        <w:pStyle w:val="Heading2"/>
        <w:spacing w:before="275"/>
      </w:pPr>
      <w:r>
        <w:rPr>
          <w:color w:val="FF8100"/>
          <w:spacing w:val="-2"/>
        </w:rPr>
        <w:t>ADMISSIONS</w:t>
      </w:r>
    </w:p>
    <w:p>
      <w:pPr>
        <w:pStyle w:val="BodyText"/>
        <w:spacing w:before="35"/>
        <w:rPr>
          <w:b/>
        </w:rPr>
      </w:pPr>
    </w:p>
    <w:p>
      <w:pPr>
        <w:pStyle w:val="BodyText"/>
        <w:spacing w:line="420" w:lineRule="auto" w:before="1"/>
        <w:ind w:left="99" w:right="8044"/>
      </w:pPr>
      <w:r>
        <w:rPr>
          <w:color w:val="6E6158"/>
          <w:spacing w:val="-2"/>
        </w:rPr>
        <w:t>Arizona Nevada Texas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aaustin@fennemorelaw.com" TargetMode="External"/><Relationship Id="rId11" Type="http://schemas.openxmlformats.org/officeDocument/2006/relationships/hyperlink" Target="https://www.fennemorelaw.com/engage-with-people-and-build-relationships-in-everything-you-do-and-life-wont-seem-like-work/" TargetMode="External"/><Relationship Id="rId12" Type="http://schemas.openxmlformats.org/officeDocument/2006/relationships/hyperlink" Target="https://www.fennemorelaw.com/insights/newsletters/2020/tenant-defaults-and-bankruptcies" TargetMode="External"/><Relationship Id="rId13" Type="http://schemas.openxmlformats.org/officeDocument/2006/relationships/hyperlink" Target="https://www.fennemorelaw.com/insights/newsletters/2020/the-cares-act---amendments-to-the-small-business-reorganization-act" TargetMode="External"/><Relationship Id="rId14" Type="http://schemas.openxmlformats.org/officeDocument/2006/relationships/hyperlink" Target="https://www.fennemorelaw.com/insights/newsletters/2020/effects-of-trademark-licenses-in-bankruptcy" TargetMode="External"/><Relationship Id="rId15" Type="http://schemas.openxmlformats.org/officeDocument/2006/relationships/hyperlink" Target="https://www.cpexecutive.com/post/the-evolving-demand-for-retail-space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Anthony W. Austin - Fennemore</dc:title>
  <dcterms:created xsi:type="dcterms:W3CDTF">2026-06-12T11:15:39Z</dcterms:created>
  <dcterms:modified xsi:type="dcterms:W3CDTF">2026-06-12T11:15:39Z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