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ton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8032" y="763308"/>
                            <a:ext cx="14243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ANTON BORTOLUSSI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9127" y="2500373"/>
                            <a:ext cx="1622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abortolussi@fennemorelaw.com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nton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6;top:-3887;width:224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ANTON BORTOLUSSI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0;top:-1151;width:25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abortolussi@fennemorelaw.com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ANTON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BORTOLUSSI</w:t>
      </w:r>
    </w:p>
    <w:p>
      <w:pPr>
        <w:pStyle w:val="BodyText"/>
        <w:spacing w:line="297" w:lineRule="auto" w:before="146"/>
        <w:ind w:left="99" w:right="357"/>
      </w:pPr>
      <w:r>
        <w:rPr>
          <w:color w:val="6E6158"/>
        </w:rPr>
        <w:t>Anton Bortolussi is a Director in our Fresno office where his work centers on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acquisitions, real estate and business transactions, estate planning, trust and estate administration law, and related tax matters.</w:t>
      </w:r>
    </w:p>
    <w:p>
      <w:pPr>
        <w:pStyle w:val="BodyText"/>
        <w:spacing w:line="292" w:lineRule="auto" w:before="192"/>
        <w:ind w:left="99" w:right="317"/>
        <w:jc w:val="both"/>
      </w:pPr>
      <w:r>
        <w:rPr>
          <w:color w:val="6E6158"/>
        </w:rPr>
        <w:t>Anton has a proven track record of advising, negotiating and closing transactions on behalf of both</w:t>
      </w:r>
      <w:r>
        <w:rPr>
          <w:color w:val="6E6158"/>
          <w:spacing w:val="25"/>
        </w:rPr>
        <w:t> </w:t>
      </w:r>
      <w:r>
        <w:rPr>
          <w:color w:val="6E6158"/>
        </w:rPr>
        <w:t>buyers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sellers</w:t>
      </w:r>
      <w:r>
        <w:rPr>
          <w:color w:val="6E6158"/>
          <w:spacing w:val="25"/>
        </w:rPr>
        <w:t> </w:t>
      </w:r>
      <w:r>
        <w:rPr>
          <w:color w:val="6E6158"/>
        </w:rPr>
        <w:t>across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variety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transactions.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addition,</w:t>
      </w:r>
      <w:r>
        <w:rPr>
          <w:color w:val="6E6158"/>
          <w:spacing w:val="25"/>
        </w:rPr>
        <w:t> </w:t>
      </w:r>
      <w:r>
        <w:rPr>
          <w:color w:val="6E6158"/>
        </w:rPr>
        <w:t>Anton</w:t>
      </w:r>
      <w:r>
        <w:rPr>
          <w:color w:val="6E6158"/>
          <w:spacing w:val="25"/>
        </w:rPr>
        <w:t> </w:t>
      </w:r>
      <w:r>
        <w:rPr>
          <w:color w:val="6E6158"/>
        </w:rPr>
        <w:t>aids</w:t>
      </w:r>
    </w:p>
    <w:p>
      <w:pPr>
        <w:pStyle w:val="BodyText"/>
        <w:spacing w:line="292" w:lineRule="auto" w:before="9"/>
        <w:ind w:left="99" w:right="106"/>
        <w:jc w:val="both"/>
      </w:pPr>
      <w:r>
        <w:rPr>
          <w:color w:val="6E6158"/>
        </w:rPr>
        <w:t>new businesses with entity formation, and established businesses with restructuring, </w:t>
      </w:r>
      <w:r>
        <w:rPr>
          <w:color w:val="6E6158"/>
        </w:rPr>
        <w:t>management and</w:t>
      </w:r>
      <w:r>
        <w:rPr>
          <w:color w:val="6E6158"/>
          <w:spacing w:val="19"/>
        </w:rPr>
        <w:t> </w:t>
      </w:r>
      <w:r>
        <w:rPr>
          <w:color w:val="6E6158"/>
        </w:rPr>
        <w:t>maintenance,</w:t>
      </w:r>
      <w:r>
        <w:rPr>
          <w:color w:val="6E6158"/>
          <w:spacing w:val="19"/>
        </w:rPr>
        <w:t> </w:t>
      </w:r>
      <w:r>
        <w:rPr>
          <w:color w:val="6E6158"/>
        </w:rPr>
        <w:t>mergers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acquisitions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capital</w:t>
      </w:r>
      <w:r>
        <w:rPr>
          <w:color w:val="6E6158"/>
          <w:spacing w:val="19"/>
        </w:rPr>
        <w:t> </w:t>
      </w:r>
      <w:r>
        <w:rPr>
          <w:color w:val="6E6158"/>
        </w:rPr>
        <w:t>needs.</w:t>
      </w:r>
      <w:r>
        <w:rPr>
          <w:color w:val="6E6158"/>
          <w:spacing w:val="19"/>
        </w:rPr>
        <w:t> </w:t>
      </w:r>
      <w:r>
        <w:rPr>
          <w:color w:val="6E6158"/>
        </w:rPr>
        <w:t>Anton</w:t>
      </w:r>
      <w:r>
        <w:rPr>
          <w:color w:val="6E6158"/>
          <w:spacing w:val="19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represented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in a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capital</w:t>
      </w:r>
      <w:r>
        <w:rPr>
          <w:color w:val="6E6158"/>
          <w:spacing w:val="34"/>
        </w:rPr>
        <w:t> </w:t>
      </w:r>
      <w:r>
        <w:rPr>
          <w:color w:val="6E6158"/>
        </w:rPr>
        <w:t>market</w:t>
      </w:r>
      <w:r>
        <w:rPr>
          <w:color w:val="6E6158"/>
          <w:spacing w:val="34"/>
        </w:rPr>
        <w:t> </w:t>
      </w:r>
      <w:r>
        <w:rPr>
          <w:color w:val="6E6158"/>
        </w:rPr>
        <w:t>transactions,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offerings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securities,</w:t>
      </w:r>
      <w:r>
        <w:rPr>
          <w:color w:val="6E6158"/>
          <w:spacing w:val="34"/>
        </w:rPr>
        <w:t> </w:t>
      </w:r>
      <w:r>
        <w:rPr>
          <w:color w:val="6E6158"/>
        </w:rPr>
        <w:t>secured,</w:t>
      </w:r>
    </w:p>
    <w:p>
      <w:pPr>
        <w:pStyle w:val="BodyText"/>
        <w:spacing w:before="2"/>
        <w:ind w:left="99"/>
        <w:jc w:val="both"/>
      </w:pPr>
      <w:r>
        <w:rPr>
          <w:color w:val="6E6158"/>
        </w:rPr>
        <w:t>convertible,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straight</w:t>
      </w:r>
      <w:r>
        <w:rPr>
          <w:color w:val="6E6158"/>
          <w:spacing w:val="14"/>
        </w:rPr>
        <w:t> </w:t>
      </w:r>
      <w:r>
        <w:rPr>
          <w:color w:val="6E6158"/>
        </w:rPr>
        <w:t>debt</w:t>
      </w:r>
      <w:r>
        <w:rPr>
          <w:color w:val="6E6158"/>
          <w:spacing w:val="14"/>
        </w:rPr>
        <w:t> </w:t>
      </w:r>
      <w:r>
        <w:rPr>
          <w:color w:val="6E6158"/>
        </w:rPr>
        <w:t>offerings,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capital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22"/>
      </w:pPr>
    </w:p>
    <w:p>
      <w:pPr>
        <w:pStyle w:val="BodyText"/>
        <w:ind w:left="99"/>
      </w:pPr>
      <w:r>
        <w:rPr>
          <w:color w:val="6E6158"/>
        </w:rPr>
        <w:t>Anton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routinely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transactions,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5" w:lineRule="auto" w:before="52"/>
        <w:ind w:left="99"/>
      </w:pPr>
      <w:r>
        <w:rPr>
          <w:color w:val="6E6158"/>
        </w:rPr>
        <w:t>acquisition, development, leasing, management and sale of commercial, multi-family, farm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agriculture industrial properties. Anton has extensive experience with respect to issues related to</w:t>
      </w:r>
      <w:r>
        <w:rPr>
          <w:color w:val="6E6158"/>
          <w:spacing w:val="40"/>
        </w:rPr>
        <w:t> </w:t>
      </w:r>
      <w:r>
        <w:rPr>
          <w:color w:val="6E6158"/>
        </w:rPr>
        <w:t>agriculture properties, and having grown up as a farmer’s son brings a unique understanding,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perspective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ag</w:t>
      </w:r>
      <w:r>
        <w:rPr>
          <w:color w:val="6E6158"/>
          <w:spacing w:val="29"/>
        </w:rPr>
        <w:t> </w:t>
      </w:r>
      <w:r>
        <w:rPr>
          <w:color w:val="6E6158"/>
        </w:rPr>
        <w:t>clients.</w:t>
      </w:r>
      <w:r>
        <w:rPr>
          <w:color w:val="6E6158"/>
          <w:spacing w:val="80"/>
        </w:rPr>
        <w:t> </w:t>
      </w:r>
      <w:r>
        <w:rPr>
          <w:color w:val="6E6158"/>
        </w:rPr>
        <w:t>Anton’s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extends</w:t>
      </w:r>
      <w:r>
        <w:rPr>
          <w:color w:val="6E6158"/>
          <w:spacing w:val="29"/>
        </w:rPr>
        <w:t> </w:t>
      </w:r>
      <w:r>
        <w:rPr>
          <w:color w:val="6E6158"/>
        </w:rPr>
        <w:t>to guiding families through multi-generational estate and business planning, helping preserve their</w:t>
      </w:r>
      <w:r>
        <w:rPr>
          <w:color w:val="6E6158"/>
          <w:spacing w:val="40"/>
        </w:rPr>
        <w:t> </w:t>
      </w:r>
      <w:r>
        <w:rPr>
          <w:color w:val="6E6158"/>
        </w:rPr>
        <w:t>legacy</w:t>
      </w:r>
      <w:r>
        <w:rPr>
          <w:color w:val="6E6158"/>
          <w:spacing w:val="28"/>
        </w:rPr>
        <w:t> </w:t>
      </w:r>
      <w:r>
        <w:rPr>
          <w:color w:val="6E6158"/>
        </w:rPr>
        <w:t>precisely</w:t>
      </w:r>
      <w:r>
        <w:rPr>
          <w:color w:val="6E6158"/>
          <w:spacing w:val="28"/>
        </w:rPr>
        <w:t> </w:t>
      </w:r>
      <w:r>
        <w:rPr>
          <w:color w:val="6E6158"/>
        </w:rPr>
        <w:t>utilizing</w:t>
      </w:r>
      <w:r>
        <w:rPr>
          <w:color w:val="6E6158"/>
          <w:spacing w:val="28"/>
        </w:rPr>
        <w:t> </w:t>
      </w:r>
      <w:r>
        <w:rPr>
          <w:color w:val="6E6158"/>
        </w:rPr>
        <w:t>wills,</w:t>
      </w:r>
      <w:r>
        <w:rPr>
          <w:color w:val="6E6158"/>
          <w:spacing w:val="28"/>
        </w:rPr>
        <w:t> </w:t>
      </w:r>
      <w:r>
        <w:rPr>
          <w:color w:val="6E6158"/>
        </w:rPr>
        <w:t>living</w:t>
      </w:r>
      <w:r>
        <w:rPr>
          <w:color w:val="6E6158"/>
          <w:spacing w:val="28"/>
        </w:rPr>
        <w:t> </w:t>
      </w:r>
      <w:r>
        <w:rPr>
          <w:color w:val="6E6158"/>
        </w:rPr>
        <w:t>trusts,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powers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while</w:t>
      </w:r>
      <w:r>
        <w:rPr>
          <w:color w:val="6E6158"/>
          <w:spacing w:val="28"/>
        </w:rPr>
        <w:t> </w:t>
      </w:r>
      <w:r>
        <w:rPr>
          <w:color w:val="6E6158"/>
        </w:rPr>
        <w:t>handling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 the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</w:t>
      </w:r>
      <w:r>
        <w:rPr>
          <w:color w:val="6E6158"/>
          <w:spacing w:val="29"/>
        </w:rPr>
        <w:t> </w:t>
      </w:r>
      <w:r>
        <w:rPr>
          <w:color w:val="6E6158"/>
        </w:rPr>
        <w:t>estates.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addition,</w:t>
      </w:r>
      <w:r>
        <w:rPr>
          <w:color w:val="6E6158"/>
          <w:spacing w:val="29"/>
        </w:rPr>
        <w:t> </w:t>
      </w:r>
      <w:r>
        <w:rPr>
          <w:color w:val="6E6158"/>
        </w:rPr>
        <w:t>Anton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</w:p>
    <w:p>
      <w:pPr>
        <w:pStyle w:val="BodyText"/>
        <w:spacing w:line="292" w:lineRule="auto" w:before="4"/>
        <w:ind w:left="99" w:right="357"/>
      </w:pPr>
      <w:r>
        <w:rPr>
          <w:color w:val="6E6158"/>
        </w:rPr>
        <w:t>CPA’s with estate tax issues, including the preparation of Estate Tax Returns (Form 706) and Gift</w:t>
      </w:r>
      <w:r>
        <w:rPr>
          <w:color w:val="6E6158"/>
          <w:spacing w:val="40"/>
        </w:rPr>
        <w:t> </w:t>
      </w:r>
      <w:r>
        <w:rPr>
          <w:color w:val="6E6158"/>
        </w:rPr>
        <w:t>Tax Returns (Form 709).</w:t>
      </w:r>
    </w:p>
    <w:p>
      <w:pPr>
        <w:pStyle w:val="BodyText"/>
        <w:spacing w:line="302" w:lineRule="auto" w:before="197"/>
        <w:ind w:left="99" w:right="137"/>
        <w:jc w:val="both"/>
      </w:pPr>
      <w:r>
        <w:rPr>
          <w:color w:val="6E6158"/>
        </w:rPr>
        <w:t>During his distinguished career, Anton also possesses experience working at a prominent </w:t>
      </w:r>
      <w:r>
        <w:rPr>
          <w:color w:val="6E6158"/>
        </w:rPr>
        <w:t>workers’ compensation</w:t>
      </w:r>
      <w:r>
        <w:rPr>
          <w:color w:val="6E6158"/>
          <w:spacing w:val="33"/>
        </w:rPr>
        <w:t> </w:t>
      </w:r>
      <w:r>
        <w:rPr>
          <w:color w:val="6E6158"/>
        </w:rPr>
        <w:t>defense</w:t>
      </w:r>
      <w:r>
        <w:rPr>
          <w:color w:val="6E6158"/>
          <w:spacing w:val="33"/>
        </w:rPr>
        <w:t> </w:t>
      </w:r>
      <w:r>
        <w:rPr>
          <w:color w:val="6E6158"/>
        </w:rPr>
        <w:t>firm,</w:t>
      </w:r>
      <w:r>
        <w:rPr>
          <w:color w:val="6E6158"/>
          <w:spacing w:val="33"/>
        </w:rPr>
        <w:t> </w:t>
      </w:r>
      <w:r>
        <w:rPr>
          <w:color w:val="6E6158"/>
        </w:rPr>
        <w:t>representing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array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breadth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California’s</w:t>
      </w:r>
    </w:p>
    <w:p>
      <w:pPr>
        <w:pStyle w:val="BodyText"/>
        <w:spacing w:line="224" w:lineRule="exact"/>
        <w:ind w:left="99"/>
        <w:jc w:val="both"/>
      </w:pPr>
      <w:r>
        <w:rPr>
          <w:color w:val="6E6158"/>
        </w:rPr>
        <w:t>workers’</w:t>
      </w:r>
      <w:r>
        <w:rPr>
          <w:color w:val="6E6158"/>
          <w:spacing w:val="21"/>
        </w:rPr>
        <w:t> </w:t>
      </w:r>
      <w:r>
        <w:rPr>
          <w:color w:val="6E6158"/>
        </w:rPr>
        <w:t>compensation</w:t>
      </w:r>
      <w:r>
        <w:rPr>
          <w:color w:val="6E6158"/>
          <w:spacing w:val="22"/>
        </w:rPr>
        <w:t> </w:t>
      </w:r>
      <w:r>
        <w:rPr>
          <w:color w:val="6E6158"/>
          <w:spacing w:val="-4"/>
        </w:rPr>
        <w:t>law.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08" w:lineRule="auto" w:before="1"/>
        <w:ind w:left="99" w:right="4429"/>
        <w:rPr>
          <w:i/>
          <w:sz w:val="20"/>
        </w:rPr>
      </w:pPr>
      <w:r>
        <w:rPr>
          <w:color w:val="6E6158"/>
        </w:rPr>
        <w:t>J.D., University of California, Davis, School of Law B.A., California State University, Fresno,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</w:p>
    <w:p>
      <w:pPr>
        <w:pStyle w:val="Heading1"/>
        <w:spacing w:before="29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467"/>
      </w:pPr>
      <w:r>
        <w:rPr>
          <w:color w:val="6E6158"/>
        </w:rPr>
        <w:t>Business &amp; </w:t>
      </w:r>
      <w:r>
        <w:rPr>
          <w:color w:val="6E6158"/>
        </w:rPr>
        <w:t>Finance Estate Planning Trusts &amp; Estates</w:t>
      </w:r>
    </w:p>
    <w:p>
      <w:pPr>
        <w:pStyle w:val="BodyText"/>
        <w:spacing w:line="420" w:lineRule="auto"/>
        <w:ind w:left="99" w:right="7467"/>
      </w:pPr>
      <w:r>
        <w:rPr>
          <w:color w:val="6E6158"/>
        </w:rPr>
        <w:t>Tax Law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7" w:lineRule="auto"/>
        <w:ind w:left="99" w:right="6813"/>
      </w:pP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6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292" w:lineRule="auto"/>
        <w:ind w:left="99" w:right="357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Fennemore’s Industry Analysis of the Rescheduling of Medical </w:t>
        </w:r>
        <w:r>
          <w:rPr>
            <w:color w:val="F5821F"/>
          </w:rPr>
          <w:t>Marijuana</w:t>
        </w:r>
      </w:hyperlink>
      <w:r>
        <w:rPr>
          <w:color w:val="6E6158"/>
        </w:rPr>
        <w:t>,” Fennemore Blog, May 21, 2026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left="99" w:right="2316"/>
      </w:pPr>
      <w:r>
        <w:rPr>
          <w:color w:val="6E6158"/>
        </w:rPr>
        <w:t>Co-Chair, Trusts and Estates Section, Fresno County Bar </w:t>
      </w:r>
      <w:r>
        <w:rPr>
          <w:color w:val="6E6158"/>
        </w:rPr>
        <w:t>Association Member, Kingsburg chapter of the Lions Club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Kings</w:t>
      </w:r>
      <w:r>
        <w:rPr>
          <w:color w:val="6E6158"/>
          <w:spacing w:val="10"/>
        </w:rPr>
        <w:t> </w:t>
      </w:r>
      <w:r>
        <w:rPr>
          <w:color w:val="6E6158"/>
        </w:rPr>
        <w:t>River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Country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abortolussi@fennemorelaw.com" TargetMode="External"/><Relationship Id="rId11" Type="http://schemas.openxmlformats.org/officeDocument/2006/relationships/hyperlink" Target="https://www.fennemorelaw.com/fennemores-industry-analysis-of-the-rescheduling-of-medical-marijuan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Bortolussi - Fennemore</dc:title>
  <dcterms:created xsi:type="dcterms:W3CDTF">2026-06-12T09:59:57Z</dcterms:created>
  <dcterms:modified xsi:type="dcterms:W3CDTF">2026-06-12T09:59:57Z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