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Athena warlen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560267" y="1369338"/>
                            <a:ext cx="198945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9455" h="320675">
                                <a:moveTo>
                                  <a:pt x="1989416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989416" y="320382"/>
                                </a:lnTo>
                                <a:lnTo>
                                  <a:pt x="1989416" y="315214"/>
                                </a:lnTo>
                                <a:close/>
                              </a:path>
                              <a:path w="1989455" h="320675">
                                <a:moveTo>
                                  <a:pt x="19894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989416" y="5168"/>
                                </a:lnTo>
                                <a:lnTo>
                                  <a:pt x="19894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ATHENA</w:t>
                              </w:r>
                              <w:r>
                                <w:rPr>
                                  <w:color w:val="FFFFFF"/>
                                  <w:spacing w:val="-22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WARLEN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Counsel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Real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Fennemore</w:t>
                                </w:r>
                                <w:r>
                                  <w:rPr>
                                    <w:color w:val="FFFFFF"/>
                                    <w:spacing w:val="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Forward</w:t>
                                </w:r>
                              </w:hyperlink>
                            </w:p>
                            <w:p>
                              <w:pPr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863.315.3283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awarlen@fennemorelaw.com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Athena warlen bio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606;top:2156;width:3133;height:505" id="docshape5" coordorigin="5607,2156" coordsize="3133,505" path="m8740,2653l5607,2653,5607,2661,8740,2661,8740,2653xm8740,2156l5607,2156,5607,2165,8740,2165,8740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ATHENA</w:t>
                        </w:r>
                        <w:r>
                          <w:rPr>
                            <w:color w:val="FFFFFF"/>
                            <w:spacing w:val="-22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WARLEN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Counsel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Real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Fennemore</w:t>
                          </w:r>
                          <w:r>
                            <w:rPr>
                              <w:color w:val="FFFFFF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Forward</w:t>
                          </w:r>
                        </w:hyperlink>
                      </w:p>
                      <w:p>
                        <w:pPr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863.315.3283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awarlen@fennemorelaw.com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ATHENA</w:t>
      </w:r>
      <w:r>
        <w:rPr>
          <w:color w:val="FF8100"/>
          <w:spacing w:val="10"/>
        </w:rPr>
        <w:t> </w:t>
      </w:r>
      <w:r>
        <w:rPr>
          <w:color w:val="FF8100"/>
          <w:spacing w:val="-2"/>
        </w:rPr>
        <w:t>WARLEN</w:t>
      </w:r>
    </w:p>
    <w:p>
      <w:pPr>
        <w:pStyle w:val="BodyText"/>
        <w:spacing w:line="302" w:lineRule="auto" w:before="147"/>
        <w:ind w:left="99" w:right="480"/>
      </w:pPr>
      <w:r>
        <w:rPr>
          <w:color w:val="6E6158"/>
        </w:rPr>
        <w:t>Athena Warlen is a real estate attorney in Fennemore’s Real Estate practice, focusing on</w:t>
      </w:r>
      <w:r>
        <w:rPr>
          <w:color w:val="6E6158"/>
          <w:spacing w:val="40"/>
        </w:rPr>
        <w:t> </w:t>
      </w:r>
      <w:r>
        <w:rPr>
          <w:color w:val="6E6158"/>
        </w:rPr>
        <w:t>commercial</w:t>
      </w:r>
      <w:r>
        <w:rPr>
          <w:color w:val="6E6158"/>
          <w:spacing w:val="17"/>
        </w:rPr>
        <w:t> </w:t>
      </w:r>
      <w:r>
        <w:rPr>
          <w:color w:val="6E6158"/>
        </w:rPr>
        <w:t>real</w:t>
      </w:r>
      <w:r>
        <w:rPr>
          <w:color w:val="6E6158"/>
          <w:spacing w:val="17"/>
        </w:rPr>
        <w:t> </w:t>
      </w:r>
      <w:r>
        <w:rPr>
          <w:color w:val="6E6158"/>
        </w:rPr>
        <w:t>estate</w:t>
      </w:r>
      <w:r>
        <w:rPr>
          <w:color w:val="6E6158"/>
          <w:spacing w:val="17"/>
        </w:rPr>
        <w:t> </w:t>
      </w:r>
      <w:r>
        <w:rPr>
          <w:color w:val="6E6158"/>
        </w:rPr>
        <w:t>transactions,</w:t>
      </w:r>
      <w:r>
        <w:rPr>
          <w:color w:val="6E6158"/>
          <w:spacing w:val="17"/>
        </w:rPr>
        <w:t> </w:t>
      </w:r>
      <w:r>
        <w:rPr>
          <w:color w:val="6E6158"/>
        </w:rPr>
        <w:t>leasing,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development.</w:t>
      </w:r>
      <w:r>
        <w:rPr>
          <w:color w:val="6E6158"/>
          <w:spacing w:val="17"/>
        </w:rPr>
        <w:t> </w:t>
      </w:r>
      <w:r>
        <w:rPr>
          <w:color w:val="6E6158"/>
        </w:rPr>
        <w:t>She</w:t>
      </w:r>
      <w:r>
        <w:rPr>
          <w:color w:val="6E6158"/>
          <w:spacing w:val="17"/>
        </w:rPr>
        <w:t> </w:t>
      </w:r>
      <w:r>
        <w:rPr>
          <w:color w:val="6E6158"/>
        </w:rPr>
        <w:t>represents</w:t>
      </w:r>
      <w:r>
        <w:rPr>
          <w:color w:val="6E6158"/>
          <w:spacing w:val="17"/>
        </w:rPr>
        <w:t> </w:t>
      </w:r>
      <w:r>
        <w:rPr>
          <w:color w:val="6E6158"/>
        </w:rPr>
        <w:t>clients</w:t>
      </w:r>
      <w:r>
        <w:rPr>
          <w:color w:val="6E6158"/>
          <w:spacing w:val="17"/>
        </w:rPr>
        <w:t> </w:t>
      </w:r>
      <w:r>
        <w:rPr>
          <w:color w:val="6E6158"/>
        </w:rPr>
        <w:t>in</w:t>
      </w:r>
      <w:r>
        <w:rPr>
          <w:color w:val="6E6158"/>
          <w:spacing w:val="17"/>
        </w:rPr>
        <w:t> </w:t>
      </w:r>
      <w:r>
        <w:rPr>
          <w:color w:val="6E6158"/>
        </w:rPr>
        <w:t>the</w:t>
      </w:r>
    </w:p>
    <w:p>
      <w:pPr>
        <w:pStyle w:val="BodyText"/>
        <w:spacing w:line="292" w:lineRule="auto"/>
        <w:ind w:left="99" w:right="480"/>
      </w:pPr>
      <w:r>
        <w:rPr>
          <w:color w:val="6E6158"/>
        </w:rPr>
        <w:t>acquisition, disposition, and financing of a wide range of asset types, including office buildings,</w:t>
      </w:r>
      <w:r>
        <w:rPr>
          <w:color w:val="6E6158"/>
          <w:spacing w:val="40"/>
        </w:rPr>
        <w:t> </w:t>
      </w:r>
      <w:r>
        <w:rPr>
          <w:color w:val="6E6158"/>
        </w:rPr>
        <w:t>shopping</w:t>
      </w:r>
      <w:r>
        <w:rPr>
          <w:color w:val="6E6158"/>
          <w:spacing w:val="40"/>
        </w:rPr>
        <w:t> </w:t>
      </w:r>
      <w:r>
        <w:rPr>
          <w:color w:val="6E6158"/>
        </w:rPr>
        <w:t>centers,</w:t>
      </w:r>
      <w:r>
        <w:rPr>
          <w:color w:val="6E6158"/>
          <w:spacing w:val="40"/>
        </w:rPr>
        <w:t> </w:t>
      </w:r>
      <w:r>
        <w:rPr>
          <w:color w:val="6E6158"/>
        </w:rPr>
        <w:t>industrial</w:t>
      </w:r>
      <w:r>
        <w:rPr>
          <w:color w:val="6E6158"/>
          <w:spacing w:val="40"/>
        </w:rPr>
        <w:t> </w:t>
      </w:r>
      <w:r>
        <w:rPr>
          <w:color w:val="6E6158"/>
        </w:rPr>
        <w:t>parks,</w:t>
      </w:r>
      <w:r>
        <w:rPr>
          <w:color w:val="6E6158"/>
          <w:spacing w:val="40"/>
        </w:rPr>
        <w:t> </w:t>
      </w:r>
      <w:r>
        <w:rPr>
          <w:color w:val="6E6158"/>
        </w:rPr>
        <w:t>multifamily</w:t>
      </w:r>
      <w:r>
        <w:rPr>
          <w:color w:val="6E6158"/>
          <w:spacing w:val="40"/>
        </w:rPr>
        <w:t> </w:t>
      </w:r>
      <w:r>
        <w:rPr>
          <w:color w:val="6E6158"/>
        </w:rPr>
        <w:t>housing,</w:t>
      </w:r>
      <w:r>
        <w:rPr>
          <w:color w:val="6E6158"/>
          <w:spacing w:val="40"/>
        </w:rPr>
        <w:t> </w:t>
      </w:r>
      <w:r>
        <w:rPr>
          <w:color w:val="6E6158"/>
        </w:rPr>
        <w:t>apartment</w:t>
      </w:r>
      <w:r>
        <w:rPr>
          <w:color w:val="6E6158"/>
          <w:spacing w:val="40"/>
        </w:rPr>
        <w:t> </w:t>
      </w:r>
      <w:r>
        <w:rPr>
          <w:color w:val="6E6158"/>
        </w:rPr>
        <w:t>complexes,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mixed-use</w:t>
      </w:r>
    </w:p>
    <w:p>
      <w:pPr>
        <w:pStyle w:val="BodyText"/>
        <w:ind w:left="99"/>
      </w:pPr>
      <w:r>
        <w:rPr>
          <w:color w:val="6E6158"/>
          <w:spacing w:val="-2"/>
        </w:rPr>
        <w:t>developments.</w:t>
      </w:r>
    </w:p>
    <w:p>
      <w:pPr>
        <w:pStyle w:val="BodyText"/>
        <w:spacing w:before="14"/>
        <w:ind w:left="0"/>
      </w:pPr>
    </w:p>
    <w:p>
      <w:pPr>
        <w:pStyle w:val="BodyText"/>
        <w:spacing w:line="295" w:lineRule="auto"/>
        <w:ind w:left="99" w:right="480"/>
      </w:pPr>
      <w:r>
        <w:rPr>
          <w:color w:val="6E6158"/>
        </w:rPr>
        <w:t>Athena manages commercial real estate transactions from initial structuring through </w:t>
      </w:r>
      <w:r>
        <w:rPr>
          <w:color w:val="6E6158"/>
        </w:rPr>
        <w:t>closing,</w:t>
      </w:r>
      <w:r>
        <w:rPr>
          <w:color w:val="6E6158"/>
          <w:spacing w:val="40"/>
        </w:rPr>
        <w:t> </w:t>
      </w:r>
      <w:r>
        <w:rPr>
          <w:color w:val="6E6158"/>
        </w:rPr>
        <w:t>handling contract drafting and negotiation, title and survey review, and due diligence. She</w:t>
      </w:r>
      <w:r>
        <w:rPr>
          <w:color w:val="6E6158"/>
          <w:spacing w:val="40"/>
        </w:rPr>
        <w:t> </w:t>
      </w:r>
      <w:r>
        <w:rPr>
          <w:color w:val="6E6158"/>
        </w:rPr>
        <w:t>regularly advises clients on title commitments, encumbrances, restrictive covenants, and risk</w:t>
      </w:r>
      <w:r>
        <w:rPr>
          <w:color w:val="6E6158"/>
          <w:spacing w:val="40"/>
        </w:rPr>
        <w:t> </w:t>
      </w:r>
      <w:r>
        <w:rPr>
          <w:color w:val="6E6158"/>
        </w:rPr>
        <w:t>mitigation strategies to support efficient and successful transactions.</w:t>
      </w:r>
    </w:p>
    <w:p>
      <w:pPr>
        <w:pStyle w:val="BodyText"/>
        <w:spacing w:line="292" w:lineRule="auto" w:before="197"/>
        <w:ind w:left="99" w:right="480"/>
      </w:pPr>
      <w:r>
        <w:rPr>
          <w:color w:val="6E6158"/>
        </w:rPr>
        <w:t>Prior to joining Fennemore, Athena was an associate at an Am Law 200 firm, where she built a</w:t>
      </w:r>
      <w:r>
        <w:rPr>
          <w:color w:val="6E6158"/>
          <w:spacing w:val="40"/>
        </w:rPr>
        <w:t> </w:t>
      </w:r>
      <w:r>
        <w:rPr>
          <w:color w:val="6E6158"/>
        </w:rPr>
        <w:t>strong</w:t>
      </w:r>
      <w:r>
        <w:rPr>
          <w:color w:val="6E6158"/>
          <w:spacing w:val="37"/>
        </w:rPr>
        <w:t> </w:t>
      </w:r>
      <w:r>
        <w:rPr>
          <w:color w:val="6E6158"/>
        </w:rPr>
        <w:t>foundation</w:t>
      </w:r>
      <w:r>
        <w:rPr>
          <w:color w:val="6E6158"/>
          <w:spacing w:val="37"/>
        </w:rPr>
        <w:t> </w:t>
      </w:r>
      <w:r>
        <w:rPr>
          <w:color w:val="6E6158"/>
        </w:rPr>
        <w:t>in</w:t>
      </w:r>
      <w:r>
        <w:rPr>
          <w:color w:val="6E6158"/>
          <w:spacing w:val="37"/>
        </w:rPr>
        <w:t> </w:t>
      </w:r>
      <w:r>
        <w:rPr>
          <w:color w:val="6E6158"/>
        </w:rPr>
        <w:t>commercial</w:t>
      </w:r>
      <w:r>
        <w:rPr>
          <w:color w:val="6E6158"/>
          <w:spacing w:val="37"/>
        </w:rPr>
        <w:t> </w:t>
      </w:r>
      <w:r>
        <w:rPr>
          <w:color w:val="6E6158"/>
        </w:rPr>
        <w:t>real</w:t>
      </w:r>
      <w:r>
        <w:rPr>
          <w:color w:val="6E6158"/>
          <w:spacing w:val="37"/>
        </w:rPr>
        <w:t> </w:t>
      </w:r>
      <w:r>
        <w:rPr>
          <w:color w:val="6E6158"/>
        </w:rPr>
        <w:t>estate</w:t>
      </w:r>
      <w:r>
        <w:rPr>
          <w:color w:val="6E6158"/>
          <w:spacing w:val="37"/>
        </w:rPr>
        <w:t> </w:t>
      </w:r>
      <w:r>
        <w:rPr>
          <w:color w:val="6E6158"/>
        </w:rPr>
        <w:t>law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complex</w:t>
      </w:r>
      <w:r>
        <w:rPr>
          <w:color w:val="6E6158"/>
          <w:spacing w:val="37"/>
        </w:rPr>
        <w:t> </w:t>
      </w:r>
      <w:r>
        <w:rPr>
          <w:color w:val="6E6158"/>
        </w:rPr>
        <w:t>transaction</w:t>
      </w:r>
      <w:r>
        <w:rPr>
          <w:color w:val="6E6158"/>
          <w:spacing w:val="37"/>
        </w:rPr>
        <w:t> </w:t>
      </w:r>
      <w:r>
        <w:rPr>
          <w:color w:val="6E6158"/>
        </w:rPr>
        <w:t>management.</w:t>
      </w:r>
    </w:p>
    <w:p>
      <w:pPr>
        <w:pStyle w:val="Heading1"/>
        <w:spacing w:before="162"/>
      </w:pPr>
      <w:r>
        <w:rPr>
          <w:color w:val="FF8100"/>
          <w:spacing w:val="-2"/>
        </w:rPr>
        <w:t>EDUCATION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J.D.,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Florida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A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M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College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5"/>
          <w:sz w:val="19"/>
        </w:rPr>
        <w:t>Law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B.S.,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South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Florida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Real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2"/>
          <w:sz w:val="19"/>
        </w:rPr>
        <w:t>Estate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Business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Finance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Mergers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Acquisitions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Natural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2"/>
          <w:sz w:val="19"/>
        </w:rPr>
        <w:t>Resources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Section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Member,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5"/>
          <w:sz w:val="19"/>
        </w:rPr>
        <w:t>Law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Former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President,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Estate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Planning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Council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Polk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2"/>
          <w:sz w:val="19"/>
        </w:rPr>
        <w:t>County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Florida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Association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Women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Lawyers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type w:val="continuous"/>
          <w:pgSz w:w="12240" w:h="15840"/>
          <w:pgMar w:top="560" w:bottom="280" w:left="1440" w:right="108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8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Florida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5"/>
          <w:sz w:val="19"/>
        </w:rPr>
        <w:t> </w:t>
      </w:r>
      <w:r>
        <w:rPr>
          <w:color w:val="6E6158"/>
          <w:spacing w:val="-2"/>
          <w:sz w:val="19"/>
        </w:rPr>
        <w:t>Association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Section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Member,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Real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Property,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Probate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Trust</w:t>
      </w:r>
      <w:r>
        <w:rPr>
          <w:color w:val="6E6158"/>
          <w:spacing w:val="8"/>
          <w:sz w:val="19"/>
        </w:rPr>
        <w:t> </w:t>
      </w:r>
      <w:r>
        <w:rPr>
          <w:color w:val="6E6158"/>
          <w:spacing w:val="-5"/>
          <w:sz w:val="19"/>
        </w:rPr>
        <w:t>Law</w:t>
      </w:r>
    </w:p>
    <w:p>
      <w:pPr>
        <w:pStyle w:val="BodyText"/>
        <w:spacing w:before="171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Florida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218" w:hanging="11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70" w:hanging="1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20" w:hanging="1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70" w:hanging="1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20" w:hanging="1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70" w:hanging="1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20" w:hanging="1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70" w:hanging="1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20" w:hanging="1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17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17" w:hanging="118"/>
    </w:pPr>
    <w:rPr>
      <w:rFonts w:ascii="Century Gothic" w:hAnsi="Century Gothic" w:eastAsia="Century Gothic" w:cs="Century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real-estate/" TargetMode="External"/><Relationship Id="rId9" Type="http://schemas.openxmlformats.org/officeDocument/2006/relationships/hyperlink" Target="https://www.fennemorelaw.com/contact-us/fennemore-forward/" TargetMode="External"/><Relationship Id="rId10" Type="http://schemas.openxmlformats.org/officeDocument/2006/relationships/hyperlink" Target="mailto:awarlen@fennemorelaw.com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Athena Warlen - Fennemore</dc:title>
  <dcterms:created xsi:type="dcterms:W3CDTF">2026-06-05T12:44:01Z</dcterms:created>
  <dcterms:modified xsi:type="dcterms:W3CDTF">2026-06-05T12:44:01Z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2026-06-05T00:00:00Z</vt:filetime>
  </property>
  <property fmtid="{D5CDD505-2E9C-101B-9397-08002B2CF9AE}" pid="6" name="Producer">
    <vt:lpwstr>Skia/PDF m148</vt:lpwstr>
  </property>
</Properties>
</file>