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andi Balanda N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5912" y="763308"/>
                            <a:ext cx="11887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BRANDI BALANDA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8896" y="2500373"/>
                            <a:ext cx="1602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bbalanda@fennemorelaw.com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8817" y="3756030"/>
                            <a:ext cx="35502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‘It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Eleanor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430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BRANDI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BALANDA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Brandi Balanda NEW bi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1;top:-6403;width:187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BRANDI BALANDA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4245;width:56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255;top:-3667;width:252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bbalanda@fennemorelaw.com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690;width:5591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‘It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Eleanor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15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BRANDI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BALANDA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Brandi</w:t>
      </w:r>
      <w:r>
        <w:rPr>
          <w:color w:val="6E6158"/>
          <w:spacing w:val="39"/>
        </w:rPr>
        <w:t> </w:t>
      </w:r>
      <w:r>
        <w:rPr>
          <w:color w:val="6E6158"/>
        </w:rPr>
        <w:t>Balanda</w:t>
      </w:r>
      <w:r>
        <w:rPr>
          <w:color w:val="6E6158"/>
          <w:spacing w:val="39"/>
        </w:rPr>
        <w:t> </w:t>
      </w:r>
      <w:r>
        <w:rPr>
          <w:color w:val="6E6158"/>
        </w:rPr>
        <w:t>has</w:t>
      </w:r>
      <w:r>
        <w:rPr>
          <w:color w:val="6E6158"/>
          <w:spacing w:val="39"/>
        </w:rPr>
        <w:t> </w:t>
      </w:r>
      <w:r>
        <w:rPr>
          <w:color w:val="6E6158"/>
        </w:rPr>
        <w:t>extensive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successfully</w:t>
      </w:r>
      <w:r>
        <w:rPr>
          <w:color w:val="6E6158"/>
          <w:spacing w:val="39"/>
        </w:rPr>
        <w:t> </w:t>
      </w:r>
      <w:r>
        <w:rPr>
          <w:color w:val="6E6158"/>
        </w:rPr>
        <w:t>litigating</w:t>
      </w:r>
      <w:r>
        <w:rPr>
          <w:color w:val="6E6158"/>
          <w:spacing w:val="39"/>
        </w:rPr>
        <w:t> </w:t>
      </w: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cases</w:t>
      </w:r>
      <w:r>
        <w:rPr>
          <w:color w:val="6E6158"/>
          <w:spacing w:val="39"/>
        </w:rPr>
        <w:t> </w:t>
      </w:r>
      <w:r>
        <w:rPr>
          <w:color w:val="6E6158"/>
        </w:rPr>
        <w:t>– from defending a senior executive against the largest trade secret claim asserted in Washington,</w:t>
      </w:r>
      <w:r>
        <w:rPr>
          <w:color w:val="6E6158"/>
          <w:spacing w:val="80"/>
        </w:rPr>
        <w:t> </w:t>
      </w:r>
      <w:r>
        <w:rPr>
          <w:color w:val="6E6158"/>
        </w:rPr>
        <w:t>to prosecuting fraud, contract and fiduciary duty claims related to the financing of major real</w:t>
      </w:r>
      <w:r>
        <w:rPr>
          <w:color w:val="6E6158"/>
          <w:spacing w:val="40"/>
        </w:rPr>
        <w:t> </w:t>
      </w:r>
      <w:r>
        <w:rPr>
          <w:color w:val="6E6158"/>
        </w:rPr>
        <w:t>estate projects, and obtaining emergency injunctive relief to protect businesses’ trademarks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intellectual property. Brandi combines this commercial work with experience representing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high-profile</w:t>
      </w:r>
      <w:r>
        <w:rPr>
          <w:color w:val="6E6158"/>
          <w:spacing w:val="35"/>
        </w:rPr>
        <w:t> </w:t>
      </w:r>
      <w:r>
        <w:rPr>
          <w:color w:val="6E6158"/>
        </w:rPr>
        <w:t>actions.</w:t>
      </w:r>
      <w:r>
        <w:rPr>
          <w:color w:val="6E6158"/>
          <w:spacing w:val="35"/>
        </w:rPr>
        <w:t> </w:t>
      </w:r>
      <w:r>
        <w:rPr>
          <w:color w:val="6E6158"/>
        </w:rPr>
        <w:t>Those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involved</w:t>
      </w:r>
      <w:r>
        <w:rPr>
          <w:color w:val="6E6158"/>
          <w:spacing w:val="35"/>
        </w:rPr>
        <w:t> </w:t>
      </w:r>
      <w:r>
        <w:rPr>
          <w:color w:val="6E6158"/>
        </w:rPr>
        <w:t>defending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</w:p>
    <w:p>
      <w:pPr>
        <w:pStyle w:val="BodyText"/>
        <w:spacing w:line="292" w:lineRule="auto"/>
        <w:ind w:left="99" w:right="396"/>
      </w:pPr>
      <w:r>
        <w:rPr>
          <w:color w:val="6E6158"/>
        </w:rPr>
        <w:t>employment and Washington Public Records Act claims, obtaining real property through eminent domain proceedings, and litigating real estate issues. She focuses on strategic</w:t>
      </w:r>
      <w:r>
        <w:rPr>
          <w:color w:val="6E6158"/>
          <w:spacing w:val="40"/>
        </w:rPr>
        <w:t> </w:t>
      </w:r>
      <w:r>
        <w:rPr>
          <w:color w:val="6E6158"/>
        </w:rPr>
        <w:t>advocacy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achieve</w:t>
      </w:r>
      <w:r>
        <w:rPr>
          <w:color w:val="6E6158"/>
          <w:spacing w:val="16"/>
        </w:rPr>
        <w:t> </w:t>
      </w:r>
      <w:r>
        <w:rPr>
          <w:color w:val="6E6158"/>
        </w:rPr>
        <w:t>client</w:t>
      </w:r>
      <w:r>
        <w:rPr>
          <w:color w:val="6E6158"/>
          <w:spacing w:val="16"/>
        </w:rPr>
        <w:t> </w:t>
      </w:r>
      <w:r>
        <w:rPr>
          <w:color w:val="6E6158"/>
        </w:rPr>
        <w:t>objectives.</w:t>
      </w:r>
      <w:r>
        <w:rPr>
          <w:color w:val="6E6158"/>
          <w:spacing w:val="16"/>
        </w:rPr>
        <w:t> </w:t>
      </w:r>
      <w:r>
        <w:rPr>
          <w:color w:val="6E6158"/>
        </w:rPr>
        <w:t>Brandi</w:t>
      </w:r>
      <w:r>
        <w:rPr>
          <w:color w:val="6E6158"/>
          <w:spacing w:val="16"/>
        </w:rPr>
        <w:t> </w:t>
      </w:r>
      <w:r>
        <w:rPr>
          <w:color w:val="6E6158"/>
        </w:rPr>
        <w:t>is</w:t>
      </w:r>
      <w:r>
        <w:rPr>
          <w:color w:val="6E6158"/>
          <w:spacing w:val="16"/>
        </w:rPr>
        <w:t> </w:t>
      </w:r>
      <w:r>
        <w:rPr>
          <w:color w:val="6E6158"/>
        </w:rPr>
        <w:t>adept</w:t>
      </w:r>
      <w:r>
        <w:rPr>
          <w:color w:val="6E6158"/>
          <w:spacing w:val="16"/>
        </w:rPr>
        <w:t> </w:t>
      </w:r>
      <w:r>
        <w:rPr>
          <w:color w:val="6E6158"/>
        </w:rPr>
        <w:t>at</w:t>
      </w:r>
      <w:r>
        <w:rPr>
          <w:color w:val="6E6158"/>
          <w:spacing w:val="16"/>
        </w:rPr>
        <w:t> </w:t>
      </w:r>
      <w:r>
        <w:rPr>
          <w:color w:val="6E6158"/>
        </w:rPr>
        <w:t>guiding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empowering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</w:p>
    <w:p>
      <w:pPr>
        <w:pStyle w:val="BodyText"/>
        <w:spacing w:line="292" w:lineRule="auto" w:before="2"/>
        <w:ind w:left="99" w:right="396"/>
      </w:pPr>
      <w:r>
        <w:rPr>
          <w:color w:val="6E6158"/>
        </w:rPr>
        <w:t>through the entire dispute resolution process – from risk assessment through litigation, </w:t>
      </w:r>
      <w:r>
        <w:rPr>
          <w:color w:val="6E6158"/>
        </w:rPr>
        <w:t>obtaining</w:t>
      </w:r>
      <w:r>
        <w:rPr>
          <w:color w:val="6E6158"/>
          <w:spacing w:val="40"/>
        </w:rPr>
        <w:t> </w:t>
      </w:r>
      <w:r>
        <w:rPr>
          <w:color w:val="6E6158"/>
        </w:rPr>
        <w:t>relief, and in settlement negotiations.</w:t>
      </w:r>
      <w:r>
        <w:rPr>
          <w:color w:val="6E6158"/>
          <w:spacing w:val="80"/>
        </w:rPr>
        <w:t> </w:t>
      </w:r>
      <w:r>
        <w:rPr>
          <w:color w:val="6E6158"/>
        </w:rPr>
        <w:t>She is a passionate advocate, driven to achieve outstanding</w:t>
      </w:r>
      <w:r>
        <w:rPr>
          <w:color w:val="6E6158"/>
          <w:spacing w:val="36"/>
        </w:rPr>
        <w:t> </w:t>
      </w:r>
      <w:r>
        <w:rPr>
          <w:color w:val="6E6158"/>
        </w:rPr>
        <w:t>results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her</w:t>
      </w:r>
      <w:r>
        <w:rPr>
          <w:color w:val="6E6158"/>
          <w:spacing w:val="36"/>
        </w:rPr>
        <w:t> </w:t>
      </w:r>
      <w:r>
        <w:rPr>
          <w:color w:val="6E6158"/>
        </w:rPr>
        <w:t>clients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creative</w:t>
      </w:r>
      <w:r>
        <w:rPr>
          <w:color w:val="6E6158"/>
          <w:spacing w:val="36"/>
        </w:rPr>
        <w:t> </w:t>
      </w:r>
      <w:r>
        <w:rPr>
          <w:color w:val="6E6158"/>
        </w:rPr>
        <w:t>problem</w:t>
      </w:r>
      <w:r>
        <w:rPr>
          <w:color w:val="6E6158"/>
          <w:spacing w:val="36"/>
        </w:rPr>
        <w:t> </w:t>
      </w:r>
      <w:r>
        <w:rPr>
          <w:color w:val="6E6158"/>
        </w:rPr>
        <w:t>solving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collaboration.</w:t>
      </w:r>
    </w:p>
    <w:p>
      <w:pPr>
        <w:pStyle w:val="BodyText"/>
        <w:spacing w:line="297" w:lineRule="auto" w:before="197"/>
        <w:ind w:left="99" w:right="300"/>
      </w:pPr>
      <w:r>
        <w:rPr>
          <w:color w:val="6E6158"/>
        </w:rPr>
        <w:t>Before joining Fennemore, Brandi was a partner at Savitt Bruce &amp; Willey, LLP, and practiced law</w:t>
      </w:r>
      <w:r>
        <w:rPr>
          <w:color w:val="6E6158"/>
          <w:spacing w:val="80"/>
        </w:rPr>
        <w:t> </w:t>
      </w:r>
      <w:r>
        <w:rPr>
          <w:color w:val="6E6158"/>
        </w:rPr>
        <w:t>in Hawaii.</w:t>
      </w:r>
      <w:r>
        <w:rPr>
          <w:color w:val="6E6158"/>
          <w:spacing w:val="80"/>
        </w:rPr>
        <w:t> </w:t>
      </w:r>
      <w:r>
        <w:rPr>
          <w:color w:val="6E6158"/>
        </w:rPr>
        <w:t>She is a Boston College Law School graduate, where she participated in the</w:t>
      </w:r>
      <w:r>
        <w:rPr>
          <w:color w:val="6E6158"/>
          <w:spacing w:val="80"/>
        </w:rPr>
        <w:t> </w:t>
      </w:r>
      <w:r>
        <w:rPr>
          <w:color w:val="6E6158"/>
        </w:rPr>
        <w:t>European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Moot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team,</w:t>
      </w:r>
      <w:r>
        <w:rPr>
          <w:color w:val="6E6158"/>
          <w:spacing w:val="24"/>
        </w:rPr>
        <w:t> </w:t>
      </w:r>
      <w:r>
        <w:rPr>
          <w:color w:val="6E6158"/>
        </w:rPr>
        <w:t>arguing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English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French,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advancing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regional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semi-</w:t>
      </w:r>
      <w:r>
        <w:rPr>
          <w:color w:val="6E6158"/>
          <w:spacing w:val="-2"/>
        </w:rPr>
        <w:t>finalist.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617"/>
        <w:jc w:val="both"/>
      </w:pPr>
      <w:r>
        <w:rPr>
          <w:color w:val="6E6158"/>
        </w:rPr>
        <w:t>Outside of the office, Brandi enjoys sharing laughs with her family and friends, traveling, and outdoor adventures. She is inspired by Tolkien’s words, “Not all those who wander are lost” – although she now also carries a compass.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Boston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7307"/>
      </w:pPr>
      <w:r>
        <w:rPr>
          <w:color w:val="6E6158"/>
        </w:rPr>
        <w:t>Business Litigation Intellectual Property Estate Litigation</w:t>
      </w:r>
      <w:r>
        <w:rPr>
          <w:color w:val="6E6158"/>
          <w:spacing w:val="40"/>
        </w:rPr>
        <w:t> </w:t>
      </w:r>
      <w:r>
        <w:rPr>
          <w:color w:val="6E6158"/>
        </w:rPr>
        <w:t>Labor &amp; </w:t>
      </w:r>
      <w:r>
        <w:rPr>
          <w:color w:val="6E6158"/>
        </w:rPr>
        <w:t>Employment Real Estate</w:t>
      </w:r>
      <w:r>
        <w:rPr>
          <w:color w:val="6E6158"/>
          <w:spacing w:val="80"/>
        </w:rPr>
        <w:t> </w:t>
      </w:r>
      <w:r>
        <w:rPr>
          <w:color w:val="6E6158"/>
        </w:rPr>
        <w:t>Cannabis Business</w:t>
      </w:r>
    </w:p>
    <w:p>
      <w:pPr>
        <w:pStyle w:val="BodyText"/>
        <w:spacing w:line="230" w:lineRule="exact"/>
        <w:ind w:left="99"/>
      </w:pP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295" w:lineRule="auto"/>
        <w:ind w:left="99" w:right="117"/>
      </w:pPr>
      <w:r>
        <w:rPr>
          <w:b/>
          <w:i/>
          <w:color w:val="6E6158"/>
          <w:sz w:val="20"/>
        </w:rPr>
        <w:t>Quackenbush et al. v. Lehua USA et al. </w:t>
      </w:r>
      <w:r>
        <w:rPr>
          <w:color w:val="6E6158"/>
        </w:rPr>
        <w:t>Represented major cannabis industry player and senior executives in the prosecution of trade secret theft and trademark infringement claims against</w:t>
      </w:r>
      <w:r>
        <w:rPr>
          <w:color w:val="6E6158"/>
          <w:spacing w:val="40"/>
        </w:rPr>
        <w:t> </w:t>
      </w:r>
      <w:r>
        <w:rPr>
          <w:color w:val="6E6158"/>
        </w:rPr>
        <w:t>former executive and former employee, and in defending against employment and </w:t>
      </w:r>
      <w:r>
        <w:rPr>
          <w:color w:val="6E6158"/>
        </w:rPr>
        <w:t>defamation</w:t>
      </w:r>
      <w:r>
        <w:rPr>
          <w:color w:val="6E6158"/>
          <w:spacing w:val="40"/>
        </w:rPr>
        <w:t> </w:t>
      </w:r>
      <w:r>
        <w:rPr>
          <w:color w:val="6E6158"/>
        </w:rPr>
        <w:t>claims;</w:t>
      </w:r>
      <w:r>
        <w:rPr>
          <w:color w:val="6E6158"/>
          <w:spacing w:val="39"/>
        </w:rPr>
        <w:t> </w:t>
      </w:r>
      <w:r>
        <w:rPr>
          <w:color w:val="6E6158"/>
        </w:rPr>
        <w:t>obtained</w:t>
      </w:r>
      <w:r>
        <w:rPr>
          <w:color w:val="6E6158"/>
          <w:spacing w:val="39"/>
        </w:rPr>
        <w:t> </w:t>
      </w:r>
      <w:r>
        <w:rPr>
          <w:color w:val="6E6158"/>
        </w:rPr>
        <w:t>preliminary</w:t>
      </w:r>
      <w:r>
        <w:rPr>
          <w:color w:val="6E6158"/>
          <w:spacing w:val="39"/>
        </w:rPr>
        <w:t> </w:t>
      </w:r>
      <w:r>
        <w:rPr>
          <w:color w:val="6E6158"/>
        </w:rPr>
        <w:t>injunction</w:t>
      </w:r>
      <w:r>
        <w:rPr>
          <w:color w:val="6E6158"/>
          <w:spacing w:val="39"/>
        </w:rPr>
        <w:t> </w:t>
      </w:r>
      <w:r>
        <w:rPr>
          <w:color w:val="6E6158"/>
        </w:rPr>
        <w:t>ordering</w:t>
      </w:r>
      <w:r>
        <w:rPr>
          <w:color w:val="6E6158"/>
          <w:spacing w:val="39"/>
        </w:rPr>
        <w:t> </w:t>
      </w:r>
      <w:r>
        <w:rPr>
          <w:color w:val="6E6158"/>
        </w:rPr>
        <w:t>the</w:t>
      </w:r>
      <w:r>
        <w:rPr>
          <w:color w:val="6E6158"/>
          <w:spacing w:val="39"/>
        </w:rPr>
        <w:t> </w:t>
      </w:r>
      <w:r>
        <w:rPr>
          <w:color w:val="6E6158"/>
        </w:rPr>
        <w:t>immediate</w:t>
      </w:r>
      <w:r>
        <w:rPr>
          <w:color w:val="6E6158"/>
          <w:spacing w:val="39"/>
        </w:rPr>
        <w:t> </w:t>
      </w:r>
      <w:r>
        <w:rPr>
          <w:color w:val="6E6158"/>
        </w:rPr>
        <w:t>return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intellectual</w:t>
      </w:r>
      <w:r>
        <w:rPr>
          <w:color w:val="6E6158"/>
          <w:spacing w:val="39"/>
        </w:rPr>
        <w:t> </w:t>
      </w:r>
      <w:r>
        <w:rPr>
          <w:color w:val="6E6158"/>
        </w:rPr>
        <w:t>property and equipment, and the cessation of the use of client trade secrets and trademarks, and then</w:t>
      </w:r>
      <w:r>
        <w:rPr>
          <w:color w:val="6E6158"/>
          <w:spacing w:val="40"/>
        </w:rPr>
        <w:t> </w:t>
      </w:r>
      <w:r>
        <w:rPr>
          <w:color w:val="6E6158"/>
        </w:rPr>
        <w:t>ultimately a permanent injunction against trade secret or trademark use and the dismissal of all</w:t>
      </w:r>
      <w:r>
        <w:rPr>
          <w:color w:val="6E6158"/>
          <w:spacing w:val="40"/>
        </w:rPr>
        <w:t> </w:t>
      </w:r>
      <w:r>
        <w:rPr>
          <w:color w:val="6E6158"/>
        </w:rPr>
        <w:t>claims against our clients.</w:t>
      </w:r>
    </w:p>
    <w:p>
      <w:pPr>
        <w:spacing w:before="112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Move, Inc.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Zillow,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defending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secret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5"/>
          <w:sz w:val="19"/>
        </w:rPr>
        <w:t>and</w:t>
      </w:r>
    </w:p>
    <w:p>
      <w:pPr>
        <w:pStyle w:val="BodyText"/>
        <w:spacing w:line="297" w:lineRule="auto" w:before="49"/>
        <w:ind w:left="99" w:right="117"/>
      </w:pPr>
      <w:r>
        <w:rPr>
          <w:color w:val="6E6158"/>
        </w:rPr>
        <w:t>employment claims in lawsuit seeking $2 billion in damages and career-ending relief; </w:t>
      </w:r>
      <w:r>
        <w:rPr>
          <w:color w:val="6E6158"/>
        </w:rPr>
        <w:t>obtained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purported trade secret document, defended at evidentiary hearing</w:t>
      </w:r>
      <w:r>
        <w:rPr>
          <w:color w:val="6E6158"/>
          <w:spacing w:val="40"/>
        </w:rPr>
        <w:t> </w:t>
      </w:r>
      <w:r>
        <w:rPr>
          <w:color w:val="6E6158"/>
        </w:rPr>
        <w:t>spoliation allegations; all claims resolved with favorable settlement prior to trial.</w:t>
      </w:r>
    </w:p>
    <w:p>
      <w:pPr>
        <w:spacing w:line="295" w:lineRule="auto" w:before="108"/>
        <w:ind w:left="99" w:right="117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Crump;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Ohmott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trade secret theft claims against former employees and competitor; demonstrated destruction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evidence and obtained favorable settlement.</w:t>
      </w:r>
    </w:p>
    <w:p>
      <w:pPr>
        <w:pStyle w:val="BodyText"/>
        <w:spacing w:line="295" w:lineRule="auto" w:before="110"/>
        <w:ind w:left="99" w:right="169"/>
      </w:pPr>
      <w:r>
        <w:rPr>
          <w:b/>
          <w:i/>
          <w:color w:val="6E6158"/>
          <w:sz w:val="20"/>
        </w:rPr>
        <w:t>Confidential Arbitration</w:t>
      </w:r>
      <w:r>
        <w:rPr>
          <w:color w:val="6E6158"/>
        </w:rPr>
        <w:t>. Represented co-owner and founder of construction and design</w:t>
      </w:r>
      <w:r>
        <w:rPr>
          <w:color w:val="6E6158"/>
          <w:spacing w:val="80"/>
        </w:rPr>
        <w:t> </w:t>
      </w:r>
      <w:r>
        <w:rPr>
          <w:color w:val="6E6158"/>
        </w:rPr>
        <w:t>company in dispute in which client had signed contracts purportedly relinquishing ownership</w:t>
      </w:r>
      <w:r>
        <w:rPr>
          <w:color w:val="6E6158"/>
          <w:spacing w:val="40"/>
        </w:rPr>
        <w:t> </w:t>
      </w:r>
      <w:r>
        <w:rPr>
          <w:color w:val="6E6158"/>
        </w:rPr>
        <w:t>interests; defended against breach of fiduciary duty, fraud, and other claims and prosecuted</w:t>
      </w:r>
      <w:r>
        <w:rPr>
          <w:color w:val="6E6158"/>
          <w:spacing w:val="40"/>
        </w:rPr>
        <w:t> </w:t>
      </w:r>
      <w:r>
        <w:rPr>
          <w:color w:val="6E6158"/>
        </w:rPr>
        <w:t>counterclaims for declaratory judgment, breach of contract, and statutory violations; won </w:t>
      </w:r>
      <w:r>
        <w:rPr>
          <w:color w:val="6E6158"/>
        </w:rPr>
        <w:t>rulings</w:t>
      </w:r>
      <w:r>
        <w:rPr>
          <w:color w:val="6E6158"/>
          <w:spacing w:val="40"/>
        </w:rPr>
        <w:t> </w:t>
      </w:r>
      <w:r>
        <w:rPr>
          <w:color w:val="6E6158"/>
        </w:rPr>
        <w:t>securing</w:t>
      </w:r>
      <w:r>
        <w:rPr>
          <w:color w:val="6E6158"/>
          <w:spacing w:val="34"/>
        </w:rPr>
        <w:t> </w:t>
      </w:r>
      <w:r>
        <w:rPr>
          <w:color w:val="6E6158"/>
        </w:rPr>
        <w:t>advancement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defense</w:t>
      </w:r>
      <w:r>
        <w:rPr>
          <w:color w:val="6E6158"/>
          <w:spacing w:val="34"/>
        </w:rPr>
        <w:t> </w:t>
      </w:r>
      <w:r>
        <w:rPr>
          <w:color w:val="6E6158"/>
        </w:rPr>
        <w:t>costs,</w:t>
      </w:r>
      <w:r>
        <w:rPr>
          <w:color w:val="6E6158"/>
          <w:spacing w:val="34"/>
        </w:rPr>
        <w:t> </w:t>
      </w:r>
      <w:r>
        <w:rPr>
          <w:color w:val="6E6158"/>
        </w:rPr>
        <w:t>which</w:t>
      </w:r>
      <w:r>
        <w:rPr>
          <w:color w:val="6E6158"/>
          <w:spacing w:val="34"/>
        </w:rPr>
        <w:t> </w:t>
      </w:r>
      <w:r>
        <w:rPr>
          <w:color w:val="6E6158"/>
        </w:rPr>
        <w:t>required</w:t>
      </w:r>
      <w:r>
        <w:rPr>
          <w:color w:val="6E6158"/>
          <w:spacing w:val="34"/>
        </w:rPr>
        <w:t> </w:t>
      </w:r>
      <w:r>
        <w:rPr>
          <w:color w:val="6E6158"/>
        </w:rPr>
        <w:t>plaintiff</w:t>
      </w:r>
      <w:r>
        <w:rPr>
          <w:color w:val="6E6158"/>
          <w:spacing w:val="34"/>
        </w:rPr>
        <w:t> </w:t>
      </w:r>
      <w:r>
        <w:rPr>
          <w:color w:val="6E6158"/>
        </w:rPr>
        <w:t>company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fund</w:t>
      </w:r>
      <w:r>
        <w:rPr>
          <w:color w:val="6E6158"/>
          <w:spacing w:val="34"/>
        </w:rPr>
        <w:t> </w:t>
      </w:r>
      <w:r>
        <w:rPr>
          <w:color w:val="6E6158"/>
        </w:rPr>
        <w:t>client’s</w:t>
      </w:r>
    </w:p>
    <w:p>
      <w:pPr>
        <w:pStyle w:val="BodyText"/>
        <w:spacing w:line="227" w:lineRule="exact"/>
        <w:ind w:left="99"/>
      </w:pPr>
      <w:r>
        <w:rPr>
          <w:color w:val="6E6158"/>
        </w:rPr>
        <w:t>defense;</w:t>
      </w:r>
      <w:r>
        <w:rPr>
          <w:color w:val="6E6158"/>
          <w:spacing w:val="18"/>
        </w:rPr>
        <w:t> </w:t>
      </w:r>
      <w:r>
        <w:rPr>
          <w:color w:val="6E6158"/>
        </w:rPr>
        <w:t>obtained</w:t>
      </w:r>
      <w:r>
        <w:rPr>
          <w:color w:val="6E6158"/>
          <w:spacing w:val="18"/>
        </w:rPr>
        <w:t> </w:t>
      </w:r>
      <w:r>
        <w:rPr>
          <w:color w:val="6E6158"/>
        </w:rPr>
        <w:t>favorable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settlement.</w:t>
      </w:r>
    </w:p>
    <w:p>
      <w:pPr>
        <w:pStyle w:val="BodyText"/>
        <w:spacing w:line="290" w:lineRule="auto" w:before="172"/>
        <w:ind w:left="99" w:right="117"/>
      </w:pPr>
      <w:r>
        <w:rPr>
          <w:b/>
          <w:i/>
          <w:color w:val="6E6158"/>
          <w:sz w:val="20"/>
        </w:rPr>
        <w:t>Asia Optical Co., Ltd. v. MicroVision, Inc. </w:t>
      </w:r>
      <w:r>
        <w:rPr>
          <w:color w:val="6E6158"/>
        </w:rPr>
        <w:t>Defended publicly-traded company against tort and breach of contract claims and prosecuted conversion counterclaim in international </w:t>
      </w:r>
      <w:r>
        <w:rPr>
          <w:color w:val="6E6158"/>
        </w:rPr>
        <w:t>arbitration;</w:t>
      </w:r>
      <w:r>
        <w:rPr>
          <w:color w:val="6E6158"/>
          <w:spacing w:val="40"/>
        </w:rPr>
        <w:t> </w:t>
      </w:r>
      <w:r>
        <w:rPr>
          <w:color w:val="6E6158"/>
        </w:rPr>
        <w:t>obtained</w:t>
      </w:r>
      <w:r>
        <w:rPr>
          <w:color w:val="6E6158"/>
          <w:spacing w:val="32"/>
        </w:rPr>
        <w:t> </w:t>
      </w:r>
      <w:r>
        <w:rPr>
          <w:color w:val="6E6158"/>
        </w:rPr>
        <w:t>dismissal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tort</w:t>
      </w:r>
      <w:r>
        <w:rPr>
          <w:color w:val="6E6158"/>
          <w:spacing w:val="32"/>
        </w:rPr>
        <w:t> </w:t>
      </w:r>
      <w:r>
        <w:rPr>
          <w:color w:val="6E6158"/>
        </w:rPr>
        <w:t>claims,</w:t>
      </w:r>
      <w:r>
        <w:rPr>
          <w:color w:val="6E6158"/>
          <w:spacing w:val="32"/>
        </w:rPr>
        <w:t> </w:t>
      </w:r>
      <w:r>
        <w:rPr>
          <w:color w:val="6E6158"/>
        </w:rPr>
        <w:t>demonstrated</w:t>
      </w:r>
      <w:r>
        <w:rPr>
          <w:color w:val="6E6158"/>
          <w:spacing w:val="32"/>
        </w:rPr>
        <w:t> </w:t>
      </w:r>
      <w:r>
        <w:rPr>
          <w:color w:val="6E6158"/>
        </w:rPr>
        <w:t>absence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merit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remaining</w:t>
      </w:r>
      <w:r>
        <w:rPr>
          <w:color w:val="6E6158"/>
          <w:spacing w:val="32"/>
        </w:rPr>
        <w:t> </w:t>
      </w:r>
      <w:r>
        <w:rPr>
          <w:color w:val="6E6158"/>
        </w:rPr>
        <w:t>claims</w:t>
      </w:r>
      <w:r>
        <w:rPr>
          <w:color w:val="6E6158"/>
          <w:spacing w:val="32"/>
        </w:rPr>
        <w:t> </w:t>
      </w:r>
      <w:r>
        <w:rPr>
          <w:color w:val="6E6158"/>
        </w:rPr>
        <w:t>against</w:t>
      </w:r>
    </w:p>
    <w:p>
      <w:pPr>
        <w:pStyle w:val="BodyText"/>
        <w:spacing w:before="4"/>
        <w:ind w:left="99"/>
      </w:pPr>
      <w:r>
        <w:rPr>
          <w:color w:val="6E6158"/>
        </w:rPr>
        <w:t>client,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obtained</w:t>
      </w:r>
      <w:r>
        <w:rPr>
          <w:color w:val="6E6158"/>
          <w:spacing w:val="15"/>
        </w:rPr>
        <w:t> </w:t>
      </w:r>
      <w:r>
        <w:rPr>
          <w:color w:val="6E6158"/>
        </w:rPr>
        <w:t>favorable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settlement.</w:t>
      </w:r>
    </w:p>
    <w:p>
      <w:pPr>
        <w:pStyle w:val="BodyText"/>
        <w:spacing w:line="292" w:lineRule="auto" w:before="172"/>
        <w:ind w:left="99" w:right="396"/>
      </w:pPr>
      <w:r>
        <w:rPr>
          <w:b/>
          <w:i/>
          <w:color w:val="6E6158"/>
          <w:sz w:val="20"/>
        </w:rPr>
        <w:t>Irwin et al. v. City of Seattle</w:t>
      </w:r>
      <w:r>
        <w:rPr>
          <w:color w:val="6E6158"/>
        </w:rPr>
        <w:t>.</w:t>
      </w:r>
      <w:r>
        <w:rPr>
          <w:color w:val="6E6158"/>
          <w:spacing w:val="40"/>
        </w:rPr>
        <w:t> </w:t>
      </w:r>
      <w:r>
        <w:rPr>
          <w:color w:val="6E6158"/>
        </w:rPr>
        <w:t>Defended City of Seattle against wrongful termination claims seeking $10 million in damages brought by two former public disclosure officers; won rulings by</w:t>
      </w:r>
      <w:r>
        <w:rPr>
          <w:color w:val="6E6158"/>
          <w:spacing w:val="40"/>
        </w:rPr>
        <w:t> </w:t>
      </w:r>
      <w:r>
        <w:rPr>
          <w:color w:val="6E6158"/>
        </w:rPr>
        <w:t>the trial court upholding the City’s attorney-client privilege and work product protections and</w:t>
      </w:r>
      <w:r>
        <w:rPr>
          <w:color w:val="6E6158"/>
          <w:spacing w:val="40"/>
        </w:rPr>
        <w:t> </w:t>
      </w:r>
      <w:r>
        <w:rPr>
          <w:color w:val="6E6158"/>
        </w:rPr>
        <w:t>denial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review,</w:t>
      </w:r>
      <w:r>
        <w:rPr>
          <w:color w:val="6E6158"/>
          <w:spacing w:val="37"/>
        </w:rPr>
        <w:t> </w:t>
      </w:r>
      <w:r>
        <w:rPr>
          <w:color w:val="6E6158"/>
        </w:rPr>
        <w:t>obtained</w:t>
      </w:r>
      <w:r>
        <w:rPr>
          <w:color w:val="6E6158"/>
          <w:spacing w:val="37"/>
        </w:rPr>
        <w:t> </w:t>
      </w:r>
      <w:r>
        <w:rPr>
          <w:color w:val="6E6158"/>
        </w:rPr>
        <w:t>attorneys’</w:t>
      </w:r>
      <w:r>
        <w:rPr>
          <w:color w:val="6E6158"/>
          <w:spacing w:val="37"/>
        </w:rPr>
        <w:t> </w:t>
      </w:r>
      <w:r>
        <w:rPr>
          <w:color w:val="6E6158"/>
        </w:rPr>
        <w:t>fee</w:t>
      </w:r>
      <w:r>
        <w:rPr>
          <w:color w:val="6E6158"/>
          <w:spacing w:val="37"/>
        </w:rPr>
        <w:t> </w:t>
      </w:r>
      <w:r>
        <w:rPr>
          <w:color w:val="6E6158"/>
        </w:rPr>
        <w:t>award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favorable</w:t>
      </w:r>
      <w:r>
        <w:rPr>
          <w:color w:val="6E6158"/>
          <w:spacing w:val="37"/>
        </w:rPr>
        <w:t> </w:t>
      </w:r>
      <w:r>
        <w:rPr>
          <w:color w:val="6E6158"/>
        </w:rPr>
        <w:t>settlement.</w:t>
      </w:r>
    </w:p>
    <w:p>
      <w:pPr>
        <w:pStyle w:val="BodyText"/>
        <w:spacing w:line="288" w:lineRule="auto" w:before="118"/>
        <w:ind w:left="99" w:right="117"/>
      </w:pPr>
      <w:r>
        <w:rPr>
          <w:b/>
          <w:i/>
          <w:color w:val="6E6158"/>
          <w:sz w:val="20"/>
        </w:rPr>
        <w:t>King v. Durkan et al. </w:t>
      </w:r>
      <w:r>
        <w:rPr>
          <w:color w:val="6E6158"/>
        </w:rPr>
        <w:t>Defended the City of Seattle and Mayor Durkan against Washington Public Records</w:t>
      </w:r>
      <w:r>
        <w:rPr>
          <w:color w:val="6E6158"/>
          <w:spacing w:val="26"/>
        </w:rPr>
        <w:t> </w:t>
      </w:r>
      <w:r>
        <w:rPr>
          <w:color w:val="6E6158"/>
        </w:rPr>
        <w:t>Act</w:t>
      </w:r>
      <w:r>
        <w:rPr>
          <w:color w:val="6E6158"/>
          <w:spacing w:val="26"/>
        </w:rPr>
        <w:t> </w:t>
      </w:r>
      <w:r>
        <w:rPr>
          <w:color w:val="6E6158"/>
        </w:rPr>
        <w:t>claims;</w:t>
      </w:r>
      <w:r>
        <w:rPr>
          <w:color w:val="6E6158"/>
          <w:spacing w:val="26"/>
        </w:rPr>
        <w:t> </w:t>
      </w:r>
      <w:r>
        <w:rPr>
          <w:color w:val="6E6158"/>
        </w:rPr>
        <w:t>obtained</w:t>
      </w:r>
      <w:r>
        <w:rPr>
          <w:color w:val="6E6158"/>
          <w:spacing w:val="26"/>
        </w:rPr>
        <w:t> </w:t>
      </w:r>
      <w:r>
        <w:rPr>
          <w:color w:val="6E6158"/>
        </w:rPr>
        <w:t>protective</w:t>
      </w:r>
      <w:r>
        <w:rPr>
          <w:color w:val="6E6158"/>
          <w:spacing w:val="26"/>
        </w:rPr>
        <w:t> </w:t>
      </w:r>
      <w:r>
        <w:rPr>
          <w:color w:val="6E6158"/>
        </w:rPr>
        <w:t>order</w:t>
      </w:r>
      <w:r>
        <w:rPr>
          <w:color w:val="6E6158"/>
          <w:spacing w:val="26"/>
        </w:rPr>
        <w:t> </w:t>
      </w:r>
      <w:r>
        <w:rPr>
          <w:color w:val="6E6158"/>
        </w:rPr>
        <w:t>prohibiting</w:t>
      </w:r>
      <w:r>
        <w:rPr>
          <w:color w:val="6E6158"/>
          <w:spacing w:val="26"/>
        </w:rPr>
        <w:t> </w:t>
      </w:r>
      <w:r>
        <w:rPr>
          <w:color w:val="6E6158"/>
        </w:rPr>
        <w:t>deposition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Mayor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limiting</w:t>
      </w:r>
    </w:p>
    <w:p>
      <w:pPr>
        <w:pStyle w:val="BodyText"/>
        <w:spacing w:after="0" w:line="288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169"/>
      </w:pPr>
      <w:r>
        <w:rPr>
          <w:color w:val="6E6158"/>
        </w:rPr>
        <w:t>the scope of discovery; obtained orders denying motions to compel discovery; succeeded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all claims.</w:t>
      </w:r>
    </w:p>
    <w:p>
      <w:pPr>
        <w:pStyle w:val="BodyText"/>
        <w:spacing w:line="290" w:lineRule="auto" w:before="122"/>
        <w:ind w:left="99" w:right="117"/>
      </w:pPr>
      <w:r>
        <w:rPr>
          <w:b/>
          <w:i/>
          <w:color w:val="6E6158"/>
          <w:sz w:val="20"/>
        </w:rPr>
        <w:t>Wallace v. City of Bellevue.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the City of Bellevue in declaratory relief action regarding the interpretation and scope of utility easements in the downtown core; succeeded on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judgment.</w:t>
      </w:r>
    </w:p>
    <w:p>
      <w:pPr>
        <w:pStyle w:val="BodyText"/>
        <w:spacing w:line="295" w:lineRule="auto" w:before="116"/>
        <w:ind w:left="99" w:right="169"/>
      </w:pPr>
      <w:r>
        <w:rPr>
          <w:b/>
          <w:i/>
          <w:color w:val="6E6158"/>
          <w:sz w:val="20"/>
        </w:rPr>
        <w:t>City of Seattle v. Kaseburg et al. </w:t>
      </w:r>
      <w:r>
        <w:rPr>
          <w:color w:val="6E6158"/>
        </w:rPr>
        <w:t>Represented the City in appeal of decree of public use and necessity in eminent domain action involving Open Public Meetings Act, appearance of </w:t>
      </w:r>
      <w:r>
        <w:rPr>
          <w:color w:val="6E6158"/>
        </w:rPr>
        <w:t>fairness</w:t>
      </w:r>
      <w:r>
        <w:rPr>
          <w:color w:val="6E6158"/>
          <w:spacing w:val="40"/>
        </w:rPr>
        <w:t> </w:t>
      </w:r>
      <w:r>
        <w:rPr>
          <w:color w:val="6E6158"/>
        </w:rPr>
        <w:t>doctrine, and constitutional claims; obtained affirmance by the Court of Appeals and denial of</w:t>
      </w:r>
      <w:r>
        <w:rPr>
          <w:color w:val="6E6158"/>
          <w:spacing w:val="40"/>
        </w:rPr>
        <w:t> </w:t>
      </w:r>
      <w:r>
        <w:rPr>
          <w:color w:val="6E6158"/>
        </w:rPr>
        <w:t>review by the Washington Supreme Court.</w:t>
      </w:r>
    </w:p>
    <w:p>
      <w:pPr>
        <w:pStyle w:val="BodyText"/>
        <w:spacing w:line="295" w:lineRule="auto" w:before="108"/>
        <w:ind w:left="99" w:right="300"/>
      </w:pPr>
      <w:r>
        <w:rPr>
          <w:b/>
          <w:i/>
          <w:color w:val="6E6158"/>
          <w:sz w:val="20"/>
        </w:rPr>
        <w:t>Sisley v. City of Seattle. </w:t>
      </w:r>
      <w:r>
        <w:rPr>
          <w:color w:val="6E6158"/>
        </w:rPr>
        <w:t>Obtained decree of public use and necessity and rulings limiting the</w:t>
      </w:r>
      <w:r>
        <w:rPr>
          <w:color w:val="6E6158"/>
          <w:spacing w:val="40"/>
        </w:rPr>
        <w:t> </w:t>
      </w:r>
      <w:r>
        <w:rPr>
          <w:color w:val="6E6158"/>
        </w:rPr>
        <w:t>scope of discovery and prohibiting Apex depositions in contested eminent domain </w:t>
      </w:r>
      <w:r>
        <w:rPr>
          <w:color w:val="6E6158"/>
        </w:rPr>
        <w:t>proceedings,</w:t>
      </w:r>
      <w:r>
        <w:rPr>
          <w:color w:val="6E6158"/>
          <w:spacing w:val="40"/>
        </w:rPr>
        <w:t> </w:t>
      </w:r>
      <w:r>
        <w:rPr>
          <w:color w:val="6E6158"/>
        </w:rPr>
        <w:t>obtained affirmance by the Court of Appeals and denial of review by the Washington Supreme</w:t>
      </w:r>
      <w:r>
        <w:rPr>
          <w:color w:val="6E6158"/>
          <w:spacing w:val="40"/>
        </w:rPr>
        <w:t> </w:t>
      </w:r>
      <w:r>
        <w:rPr>
          <w:color w:val="6E6158"/>
        </w:rPr>
        <w:t>Court; defended the City against related Washington Public Records Act claims; succeeded on</w:t>
      </w:r>
      <w:r>
        <w:rPr>
          <w:color w:val="6E6158"/>
          <w:spacing w:val="40"/>
        </w:rPr>
        <w:t> </w:t>
      </w:r>
      <w:r>
        <w:rPr>
          <w:color w:val="6E6158"/>
        </w:rPr>
        <w:t>summary</w:t>
      </w:r>
      <w:r>
        <w:rPr>
          <w:color w:val="6E6158"/>
          <w:spacing w:val="34"/>
        </w:rPr>
        <w:t> </w:t>
      </w:r>
      <w:r>
        <w:rPr>
          <w:color w:val="6E6158"/>
        </w:rPr>
        <w:t>judgment;</w:t>
      </w:r>
      <w:r>
        <w:rPr>
          <w:color w:val="6E6158"/>
          <w:spacing w:val="34"/>
        </w:rPr>
        <w:t> </w:t>
      </w:r>
      <w:r>
        <w:rPr>
          <w:color w:val="6E6158"/>
        </w:rPr>
        <w:t>executed</w:t>
      </w:r>
      <w:r>
        <w:rPr>
          <w:color w:val="6E6158"/>
          <w:spacing w:val="34"/>
        </w:rPr>
        <w:t> </w:t>
      </w:r>
      <w:r>
        <w:rPr>
          <w:color w:val="6E6158"/>
        </w:rPr>
        <w:t>offer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judgment</w:t>
      </w:r>
      <w:r>
        <w:rPr>
          <w:color w:val="6E6158"/>
          <w:spacing w:val="34"/>
        </w:rPr>
        <w:t> </w:t>
      </w:r>
      <w:r>
        <w:rPr>
          <w:color w:val="6E6158"/>
        </w:rPr>
        <w:t>strategy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preclude</w:t>
      </w:r>
      <w:r>
        <w:rPr>
          <w:color w:val="6E6158"/>
          <w:spacing w:val="34"/>
        </w:rPr>
        <w:t> </w:t>
      </w:r>
      <w:r>
        <w:rPr>
          <w:color w:val="6E6158"/>
        </w:rPr>
        <w:t>recovery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certain</w:t>
      </w:r>
    </w:p>
    <w:p>
      <w:pPr>
        <w:pStyle w:val="BodyText"/>
        <w:spacing w:before="3"/>
        <w:ind w:left="99"/>
      </w:pPr>
      <w:r>
        <w:rPr>
          <w:color w:val="6E6158"/>
        </w:rPr>
        <w:t>attorneys’</w:t>
      </w:r>
      <w:r>
        <w:rPr>
          <w:color w:val="6E6158"/>
          <w:spacing w:val="23"/>
        </w:rPr>
        <w:t> </w:t>
      </w:r>
      <w:r>
        <w:rPr>
          <w:color w:val="6E6158"/>
          <w:spacing w:val="-4"/>
        </w:rPr>
        <w:t>fees.</w:t>
      </w:r>
    </w:p>
    <w:p>
      <w:pPr>
        <w:spacing w:before="163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Vandeveer,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American</w:t>
      </w:r>
      <w:r>
        <w:rPr>
          <w:b/>
          <w:i/>
          <w:color w:val="6E6158"/>
          <w:spacing w:val="-7"/>
          <w:sz w:val="20"/>
        </w:rPr>
        <w:t> </w:t>
      </w:r>
      <w:r>
        <w:rPr>
          <w:b/>
          <w:i/>
          <w:color w:val="6E6158"/>
          <w:sz w:val="20"/>
        </w:rPr>
        <w:t>Savings</w:t>
      </w:r>
      <w:r>
        <w:rPr>
          <w:b/>
          <w:i/>
          <w:color w:val="6E6158"/>
          <w:spacing w:val="-6"/>
          <w:sz w:val="20"/>
        </w:rPr>
        <w:t> </w:t>
      </w:r>
      <w:r>
        <w:rPr>
          <w:b/>
          <w:i/>
          <w:color w:val="6E6158"/>
          <w:sz w:val="20"/>
        </w:rPr>
        <w:t>Bank</w:t>
      </w:r>
      <w:r>
        <w:rPr>
          <w:b/>
          <w:color w:val="6E6158"/>
          <w:sz w:val="19"/>
        </w:rPr>
        <w:t>.</w:t>
      </w:r>
      <w:r>
        <w:rPr>
          <w:b/>
          <w:color w:val="6E6158"/>
          <w:spacing w:val="48"/>
          <w:sz w:val="19"/>
        </w:rPr>
        <w:t> </w:t>
      </w:r>
      <w:r>
        <w:rPr>
          <w:color w:val="6E6158"/>
          <w:sz w:val="19"/>
        </w:rPr>
        <w:t>Defended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savings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line="297" w:lineRule="auto" w:before="50"/>
        <w:ind w:left="99" w:right="117"/>
      </w:pPr>
      <w:r>
        <w:rPr>
          <w:color w:val="6E6158"/>
        </w:rPr>
        <w:t>against tort, statutory, and equitable claims in putative class action involving overdraft fees and</w:t>
      </w:r>
      <w:r>
        <w:rPr>
          <w:color w:val="6E6158"/>
          <w:spacing w:val="40"/>
        </w:rPr>
        <w:t> </w:t>
      </w:r>
      <w:r>
        <w:rPr>
          <w:color w:val="6E6158"/>
        </w:rPr>
        <w:t>related disclosure issues; filed pre-certification dispositive motion based on federal preemption;</w:t>
      </w:r>
      <w:r>
        <w:rPr>
          <w:color w:val="6E6158"/>
          <w:spacing w:val="40"/>
        </w:rPr>
        <w:t> </w:t>
      </w:r>
      <w:r>
        <w:rPr>
          <w:color w:val="6E6158"/>
        </w:rPr>
        <w:t>obtained favorable settlement while federal preemption appeal was pending.</w:t>
      </w: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Gross,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al.;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Lexington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Insurance</w:t>
      </w:r>
    </w:p>
    <w:p>
      <w:pPr>
        <w:pStyle w:val="BodyText"/>
        <w:spacing w:line="295" w:lineRule="auto" w:before="40"/>
        <w:ind w:left="99" w:right="396"/>
      </w:pPr>
      <w:r>
        <w:rPr>
          <w:b/>
          <w:i/>
          <w:color w:val="6E6158"/>
          <w:sz w:val="20"/>
        </w:rPr>
        <w:t>Company.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state university system against putative class action regarding </w:t>
      </w:r>
      <w:r>
        <w:rPr>
          <w:color w:val="6E6158"/>
        </w:rPr>
        <w:t>alleged data breaches; favorable settlement obtained after filing motion to dismiss; subsequently</w:t>
      </w:r>
      <w:r>
        <w:rPr>
          <w:color w:val="6E6158"/>
          <w:spacing w:val="40"/>
        </w:rPr>
        <w:t> </w:t>
      </w:r>
      <w:r>
        <w:rPr>
          <w:color w:val="6E6158"/>
        </w:rPr>
        <w:t>litigated claims on behalf of state university system against insurer for related coverage;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 obtained prior to any discovery.</w:t>
      </w:r>
    </w:p>
    <w:p>
      <w:pPr>
        <w:pStyle w:val="BodyText"/>
        <w:spacing w:line="295" w:lineRule="auto" w:before="108"/>
        <w:ind w:left="99" w:right="594"/>
      </w:pPr>
      <w:r>
        <w:rPr>
          <w:b/>
          <w:i/>
          <w:color w:val="6E6158"/>
          <w:sz w:val="20"/>
        </w:rPr>
        <w:t>Pasion v. County of Kauai,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appointed public official facing retaliation for whistle-blower activities and prosecuted subsequent related employment claims; 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settlement.</w:t>
      </w:r>
    </w:p>
    <w:p>
      <w:pPr>
        <w:pStyle w:val="BodyText"/>
        <w:spacing w:line="295" w:lineRule="auto" w:before="110"/>
        <w:ind w:left="99" w:right="396"/>
      </w:pPr>
      <w:r>
        <w:rPr>
          <w:b/>
          <w:i/>
          <w:color w:val="6E6158"/>
          <w:sz w:val="20"/>
        </w:rPr>
        <w:t>Charles et al. v. Kapalua Bay, LLC,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approximately forty purchasers of fractional ownership interests in a luxury development prosecuting consumer protection, tort,</w:t>
      </w:r>
      <w:r>
        <w:rPr>
          <w:color w:val="6E6158"/>
          <w:spacing w:val="40"/>
        </w:rPr>
        <w:t> </w:t>
      </w:r>
      <w:r>
        <w:rPr>
          <w:color w:val="6E6158"/>
        </w:rPr>
        <w:t>statutory, and equitable claims against developer, multinational hotel company, and </w:t>
      </w:r>
      <w:r>
        <w:rPr>
          <w:color w:val="6E6158"/>
        </w:rPr>
        <w:t>related </w:t>
      </w:r>
      <w:r>
        <w:rPr>
          <w:color w:val="6E6158"/>
          <w:spacing w:val="-2"/>
        </w:rPr>
        <w:t>entities.</w:t>
      </w:r>
    </w:p>
    <w:p>
      <w:pPr>
        <w:pStyle w:val="BodyText"/>
        <w:spacing w:line="295" w:lineRule="auto" w:before="108"/>
        <w:ind w:left="99" w:right="396"/>
      </w:pPr>
      <w:r>
        <w:rPr>
          <w:b/>
          <w:i/>
          <w:color w:val="6E6158"/>
          <w:sz w:val="20"/>
        </w:rPr>
        <w:t>Complex Multiparty Real Estate and Finance Litigation. </w:t>
      </w:r>
      <w:r>
        <w:rPr>
          <w:color w:val="6E6158"/>
        </w:rPr>
        <w:t>Defended claims against personal guaranty of multi-million dollar revolving construction loan; developed and prosecuted claims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corporate</w:t>
      </w:r>
      <w:r>
        <w:rPr>
          <w:color w:val="6E6158"/>
          <w:spacing w:val="12"/>
        </w:rPr>
        <w:t> </w:t>
      </w:r>
      <w:r>
        <w:rPr>
          <w:color w:val="6E6158"/>
        </w:rPr>
        <w:t>fraud,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fiduciary</w:t>
      </w:r>
      <w:r>
        <w:rPr>
          <w:color w:val="6E6158"/>
          <w:spacing w:val="12"/>
        </w:rPr>
        <w:t> </w:t>
      </w:r>
      <w:r>
        <w:rPr>
          <w:color w:val="6E6158"/>
        </w:rPr>
        <w:t>duty,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approximately</w:t>
      </w:r>
    </w:p>
    <w:p>
      <w:pPr>
        <w:pStyle w:val="BodyText"/>
        <w:spacing w:line="292" w:lineRule="auto"/>
        <w:ind w:left="99" w:right="117"/>
      </w:pPr>
      <w:r>
        <w:rPr>
          <w:color w:val="6E6158"/>
        </w:rPr>
        <w:t>$40 million of debt, mezzanine, and equity financed real estate projects; obtained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for individual and developer entity clients.</w:t>
      </w:r>
    </w:p>
    <w:p>
      <w:pPr>
        <w:pStyle w:val="BodyText"/>
        <w:spacing w:before="118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4559"/>
      </w:pPr>
      <w:r>
        <w:rPr>
          <w:color w:val="6E6158"/>
        </w:rPr>
        <w:t>Best Lawyers in America, 2024 and </w:t>
      </w:r>
      <w:r>
        <w:rPr>
          <w:color w:val="6E6158"/>
        </w:rPr>
        <w:t>2025 Washington Super Lawyers, 2022-2025</w:t>
      </w:r>
    </w:p>
    <w:p>
      <w:pPr>
        <w:pStyle w:val="BodyText"/>
        <w:spacing w:line="420" w:lineRule="auto"/>
        <w:ind w:left="99" w:right="1940"/>
      </w:pPr>
      <w:r>
        <w:rPr>
          <w:color w:val="6E6158"/>
        </w:rPr>
        <w:t>Top Women Lawyers in Washington, Washington Super Lawyers, </w:t>
      </w:r>
      <w:r>
        <w:rPr>
          <w:color w:val="6E6158"/>
        </w:rPr>
        <w:t>2023 Washington Rising Stars, 2016-2020</w:t>
      </w:r>
    </w:p>
    <w:p>
      <w:pPr>
        <w:pStyle w:val="BodyText"/>
        <w:spacing w:before="5"/>
        <w:ind w:left="99"/>
      </w:pPr>
      <w:r>
        <w:rPr>
          <w:color w:val="6E6158"/>
        </w:rPr>
        <w:t>Hawaii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Stars,</w:t>
      </w:r>
      <w:r>
        <w:rPr>
          <w:color w:val="6E6158"/>
          <w:spacing w:val="15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2015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117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Fennemore attorney Brandi Balanda with insights on protecting trade secrets in a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generative AI world</w:t>
        </w:r>
      </w:hyperlink>
      <w:r>
        <w:rPr>
          <w:color w:val="6E6158"/>
        </w:rPr>
        <w:t>,” Puget Sound Business Journal, August 1, 2025</w:t>
      </w:r>
    </w:p>
    <w:p>
      <w:pPr>
        <w:pStyle w:val="BodyText"/>
        <w:spacing w:line="420" w:lineRule="auto" w:before="131"/>
        <w:ind w:left="99" w:right="1590"/>
      </w:pPr>
      <w:r>
        <w:rPr>
          <w:color w:val="6E6158"/>
        </w:rPr>
        <w:t>Author, “Litigation Overview: Washington,” Thomson Reuters, March 20, 2024</w:t>
      </w:r>
      <w:r>
        <w:rPr>
          <w:color w:val="6E6158"/>
          <w:spacing w:val="40"/>
        </w:rPr>
        <w:t> </w:t>
      </w:r>
      <w:r>
        <w:rPr>
          <w:color w:val="6E6158"/>
        </w:rPr>
        <w:t>Author, “Mitigating Legal Risk in Today’s Business Climate – a Litigator’s Lens,” </w:t>
      </w:r>
      <w:r>
        <w:rPr>
          <w:color w:val="6E6158"/>
        </w:rPr>
        <w:t>2023</w:t>
      </w:r>
    </w:p>
    <w:p>
      <w:pPr>
        <w:pStyle w:val="BodyText"/>
        <w:spacing w:line="292" w:lineRule="auto"/>
        <w:ind w:left="99" w:right="117"/>
      </w:pPr>
      <w:r>
        <w:rPr>
          <w:color w:val="6E6158"/>
        </w:rPr>
        <w:t>Presenter, “Beyond Oso: Understanding, Avoiding, and Mitigating Spoliation Issues, Landslides </w:t>
      </w:r>
      <w:r>
        <w:rPr>
          <w:color w:val="6E6158"/>
        </w:rPr>
        <w:t>in Washington CLE Conference, Law Seminars International, 2017</w:t>
      </w:r>
    </w:p>
    <w:p>
      <w:pPr>
        <w:pStyle w:val="BodyText"/>
        <w:spacing w:line="420" w:lineRule="auto" w:before="130"/>
        <w:ind w:left="99" w:right="169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Provisional Remedies: Washington, Practical Law</w:t>
        </w:r>
      </w:hyperlink>
      <w:r>
        <w:rPr>
          <w:color w:val="6E6158"/>
        </w:rPr>
        <w:t>,” Thomson Reuters, August </w:t>
      </w:r>
      <w:r>
        <w:rPr>
          <w:color w:val="6E6158"/>
        </w:rPr>
        <w:t>2023 Author,</w:t>
      </w:r>
      <w:r>
        <w:rPr>
          <w:color w:val="6E6158"/>
          <w:spacing w:val="19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Mitigating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Risk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Today’s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Climate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Litigator’s</w:t>
        </w:r>
        <w:r>
          <w:rPr>
            <w:color w:val="F5821F"/>
            <w:spacing w:val="19"/>
          </w:rPr>
          <w:t> </w:t>
        </w:r>
        <w:r>
          <w:rPr>
            <w:color w:val="F5821F"/>
          </w:rPr>
          <w:t>Lens</w:t>
        </w:r>
      </w:hyperlink>
      <w:r>
        <w:rPr>
          <w:color w:val="6E6158"/>
        </w:rPr>
        <w:t>,”</w:t>
      </w:r>
      <w:r>
        <w:rPr>
          <w:color w:val="6E6158"/>
          <w:spacing w:val="19"/>
        </w:rPr>
        <w:t> </w:t>
      </w:r>
      <w:r>
        <w:rPr>
          <w:color w:val="6E6158"/>
        </w:rPr>
        <w:t>Firm</w:t>
      </w:r>
      <w:r>
        <w:rPr>
          <w:color w:val="6E6158"/>
          <w:spacing w:val="19"/>
        </w:rPr>
        <w:t> </w:t>
      </w:r>
      <w:r>
        <w:rPr>
          <w:color w:val="6E6158"/>
        </w:rPr>
        <w:t>Newsletter</w:t>
      </w:r>
    </w:p>
    <w:p>
      <w:pPr>
        <w:pStyle w:val="Heading1"/>
        <w:spacing w:before="28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1940"/>
      </w:pPr>
      <w:r>
        <w:rPr>
          <w:color w:val="6E6158"/>
        </w:rPr>
        <w:t>Member, Federal Bar Association of the Western District of </w:t>
      </w:r>
      <w:r>
        <w:rPr>
          <w:color w:val="6E6158"/>
        </w:rPr>
        <w:t>Washington Associate Fellow, Litigation Counsel of America</w:t>
      </w:r>
    </w:p>
    <w:p>
      <w:pPr>
        <w:pStyle w:val="BodyText"/>
        <w:spacing w:line="420" w:lineRule="auto"/>
        <w:ind w:left="99" w:right="5623"/>
      </w:pPr>
      <w:r>
        <w:rPr>
          <w:color w:val="6E6158"/>
        </w:rPr>
        <w:t>Member, Diversity Law </w:t>
      </w:r>
      <w:r>
        <w:rPr>
          <w:color w:val="6E6158"/>
        </w:rPr>
        <w:t>Institute Member, Trial Law Institute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Young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Delegate,</w:t>
      </w:r>
      <w:r>
        <w:rPr>
          <w:color w:val="6E6158"/>
          <w:spacing w:val="15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Hawaii</w:t>
      </w:r>
      <w:r>
        <w:rPr>
          <w:color w:val="6E6158"/>
          <w:spacing w:val="15"/>
        </w:rPr>
        <w:t> </w:t>
      </w: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(2011-</w:t>
      </w:r>
      <w:r>
        <w:rPr>
          <w:color w:val="6E6158"/>
          <w:spacing w:val="-2"/>
        </w:rPr>
        <w:t>2012)</w:t>
      </w:r>
    </w:p>
    <w:p>
      <w:pPr>
        <w:pStyle w:val="BodyText"/>
        <w:spacing w:line="292" w:lineRule="auto" w:before="175"/>
        <w:ind w:left="99" w:right="117"/>
      </w:pPr>
      <w:r>
        <w:rPr>
          <w:color w:val="6E6158"/>
        </w:rPr>
        <w:t>Board of Directors, Alexander Hamilton Scholars (formerly the Alexander Hamilton </w:t>
      </w:r>
      <w:r>
        <w:rPr>
          <w:color w:val="6E6158"/>
        </w:rPr>
        <w:t>Friends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Association)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7601"/>
      </w:pPr>
      <w:r>
        <w:rPr>
          <w:color w:val="6E6158"/>
          <w:spacing w:val="-2"/>
        </w:rPr>
        <w:t>Washington Hawaii</w:t>
      </w:r>
    </w:p>
    <w:p>
      <w:pPr>
        <w:pStyle w:val="BodyText"/>
        <w:spacing w:line="422" w:lineRule="auto"/>
        <w:ind w:left="99" w:right="3706"/>
      </w:pP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Ninth</w:t>
      </w:r>
      <w:r>
        <w:rPr>
          <w:color w:val="6E6158"/>
          <w:spacing w:val="40"/>
        </w:rPr>
        <w:t> </w:t>
      </w:r>
      <w:r>
        <w:rPr>
          <w:color w:val="6E6158"/>
        </w:rPr>
        <w:t>Circuit United States District Court, Western District of </w:t>
      </w:r>
      <w:r>
        <w:rPr>
          <w:color w:val="6E6158"/>
        </w:rPr>
        <w:t>Washington United States District Court, Eastern District of Washington United States District Court, District of Hawaii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8"/>
      <w:ind w:left="99"/>
      <w:outlineLvl w:val="2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balanda@fennemorelaw.com" TargetMode="External"/><Relationship Id="rId11" Type="http://schemas.openxmlformats.org/officeDocument/2006/relationships/hyperlink" Target="https://www.bizjournals.com/seattle/news/2024/08/01/fennemore-attorney-brandi-balanda-with-insights-on.html" TargetMode="External"/><Relationship Id="rId12" Type="http://schemas.openxmlformats.org/officeDocument/2006/relationships/hyperlink" Target="http://us.practicallaw.com/w-000-6380" TargetMode="External"/><Relationship Id="rId13" Type="http://schemas.openxmlformats.org/officeDocument/2006/relationships/hyperlink" Target="https://www.sbwllp.com/mitigating-legal-risk-in-todays-business-climate-a-litigators-le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 Balanda - Fennemore</dc:title>
  <dcterms:created xsi:type="dcterms:W3CDTF">2026-06-12T09:58:46Z</dcterms:created>
  <dcterms:modified xsi:type="dcterms:W3CDTF">2026-06-12T09:58:46Z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