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63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-5013543</wp:posOffset>
                </wp:positionV>
                <wp:extent cx="6071870" cy="49580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58080"/>
                          <a:chExt cx="6071870" cy="4958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78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783080">
                                <a:moveTo>
                                  <a:pt x="6071591" y="1782722"/>
                                </a:moveTo>
                                <a:lnTo>
                                  <a:pt x="0" y="1782722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782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Brent McManiga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56232" y="763308"/>
                            <a:ext cx="160782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BRENT MCMANIGAL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12893" y="2133494"/>
                            <a:ext cx="694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Inland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Empire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909.723.1807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689380" y="2500373"/>
                            <a:ext cx="17418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bmcmanigal@fennemorelaw.com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823558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83790" y="3756030"/>
                            <a:ext cx="332041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Society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cannot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exist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law.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Law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bond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society: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which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makes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it,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preserves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keeps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together.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fact,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the</w:t>
                              </w:r>
                            </w:p>
                            <w:p>
                              <w:pPr>
                                <w:spacing w:before="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essence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civil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society.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601176" y="4401944"/>
                            <a:ext cx="8858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Joseph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P. Bradley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823558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4.767181pt;width:478.1pt;height:390.4pt;mso-position-horizontal-relative:page;mso-position-vertical-relative:paragraph;z-index:15728640" id="docshapegroup1" coordorigin="1336,-7895" coordsize="9562,7808">
                <v:rect style="position:absolute;left:1336;top:-2916;width:9562;height:2808" id="docshape2" filled="true" fillcolor="#002e6d" stroked="false">
                  <v:fill type="solid"/>
                </v:rect>
                <v:shape style="position:absolute;left:1336;top:-7896;width:2165;height:424" type="#_x0000_t75" id="docshape3" alt="Fennemore" href="https://www.fennemorelaw.com/" stroked="false">
                  <v:imagedata r:id="rId5" o:title=""/>
                </v:shape>
                <v:shape style="position:absolute;left:1336;top:-7473;width:4785;height:4557" type="#_x0000_t75" id="docshape4" alt="Brent McManigal" stroked="false">
                  <v:imagedata r:id="rId7" o:title=""/>
                </v:shape>
                <v:rect style="position:absolute;left:6121;top:-7473;width:4777;height:4557" id="docshape5" filled="true" fillcolor="#262424" stroked="false">
                  <v:fill type="solid"/>
                </v:rect>
                <v:shape style="position:absolute;left:6837;top:-5308;width:3337;height:505" id="docshape6" coordorigin="6837,-5308" coordsize="3337,505" path="m10174,-4811l6837,-4811,6837,-4803,10174,-4803,10174,-4811xm10174,-5308l6837,-5308,6837,-5299,10174,-5299,10174,-530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51;top:-6694;width:2532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BRENT MCMANIGAL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0;top:-4536;width:1094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Inland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Empire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84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909.723.1807</w:t>
                        </w:r>
                      </w:p>
                    </w:txbxContent>
                  </v:textbox>
                  <w10:wrap type="none"/>
                </v:shape>
                <v:shape style="position:absolute;left:8817;top:-4284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</w:txbxContent>
                  </v:textbox>
                  <w10:wrap type="none"/>
                </v:shape>
                <v:shape style="position:absolute;left:7146;top:-3958;width:2743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bmcmanigal@fennemorelaw.com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874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15;top:-1981;width:5229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Society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cannot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exist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without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law.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Law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bond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society: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which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makes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it,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which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preserves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keeps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together.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fact,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the</w:t>
                        </w:r>
                      </w:p>
                      <w:p>
                        <w:pPr>
                          <w:spacing w:before="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essence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civil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society.</w:t>
                        </w:r>
                      </w:p>
                    </w:txbxContent>
                  </v:textbox>
                  <w10:wrap type="none"/>
                </v:shape>
                <v:shape style="position:absolute;left:5432;top:-964;width:1395;height:200" type="#_x0000_t202" id="docshape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Joseph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P. Bradley</w:t>
                        </w:r>
                      </w:p>
                    </w:txbxContent>
                  </v:textbox>
                  <w10:wrap type="none"/>
                </v:shape>
                <v:shape style="position:absolute;left:8985;top:-1874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BRENT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MCMANIGAL</w:t>
      </w:r>
    </w:p>
    <w:p>
      <w:pPr>
        <w:pStyle w:val="BodyText"/>
        <w:spacing w:line="295" w:lineRule="auto" w:before="147"/>
        <w:ind w:left="99" w:right="231"/>
      </w:pPr>
      <w:r>
        <w:rPr>
          <w:color w:val="6E6158"/>
        </w:rPr>
        <w:t>Brent McManigal is a director in our San Bernardino office who counsels clients through the</w:t>
      </w:r>
      <w:r>
        <w:rPr>
          <w:color w:val="6E6158"/>
          <w:spacing w:val="40"/>
        </w:rPr>
        <w:t> </w:t>
      </w:r>
      <w:r>
        <w:rPr>
          <w:color w:val="6E6158"/>
        </w:rPr>
        <w:t>numerous local, state, and federal laws related to project management, permitting, and</w:t>
      </w:r>
      <w:r>
        <w:rPr>
          <w:color w:val="6E6158"/>
          <w:spacing w:val="40"/>
        </w:rPr>
        <w:t> </w:t>
      </w:r>
      <w:r>
        <w:rPr>
          <w:color w:val="6E6158"/>
        </w:rPr>
        <w:t>environmental compliance, including compliance with the California Environmental Quality </w:t>
      </w:r>
      <w:r>
        <w:rPr>
          <w:color w:val="6E6158"/>
        </w:rPr>
        <w:t>Act</w:t>
      </w:r>
      <w:r>
        <w:rPr>
          <w:color w:val="6E6158"/>
          <w:spacing w:val="40"/>
        </w:rPr>
        <w:t> </w:t>
      </w:r>
      <w:r>
        <w:rPr>
          <w:color w:val="6E6158"/>
        </w:rPr>
        <w:t>(CEQA), Porter Cologne Act, and Endangered Species Act. He has experience in all aspects of</w:t>
      </w:r>
      <w:r>
        <w:rPr>
          <w:color w:val="6E6158"/>
          <w:spacing w:val="40"/>
        </w:rPr>
        <w:t> </w:t>
      </w:r>
      <w:r>
        <w:rPr>
          <w:color w:val="6E6158"/>
        </w:rPr>
        <w:t>commercial,</w:t>
      </w:r>
      <w:r>
        <w:rPr>
          <w:color w:val="6E6158"/>
          <w:spacing w:val="40"/>
        </w:rPr>
        <w:t> </w:t>
      </w:r>
      <w:r>
        <w:rPr>
          <w:color w:val="6E6158"/>
        </w:rPr>
        <w:t>industrial,</w:t>
      </w:r>
      <w:r>
        <w:rPr>
          <w:color w:val="6E6158"/>
          <w:spacing w:val="40"/>
        </w:rPr>
        <w:t> </w:t>
      </w:r>
      <w:r>
        <w:rPr>
          <w:color w:val="6E6158"/>
        </w:rPr>
        <w:t>residential,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waste</w:t>
      </w:r>
      <w:r>
        <w:rPr>
          <w:color w:val="6E6158"/>
          <w:spacing w:val="40"/>
        </w:rPr>
        <w:t>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</w:rPr>
        <w:t>projects,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preliminary</w:t>
      </w:r>
    </w:p>
    <w:p>
      <w:pPr>
        <w:pStyle w:val="BodyText"/>
        <w:spacing w:before="8"/>
        <w:ind w:left="99"/>
      </w:pPr>
      <w:r>
        <w:rPr>
          <w:color w:val="6E6158"/>
        </w:rPr>
        <w:t>market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business</w:t>
      </w:r>
      <w:r>
        <w:rPr>
          <w:color w:val="6E6158"/>
          <w:spacing w:val="16"/>
        </w:rPr>
        <w:t> </w:t>
      </w:r>
      <w:r>
        <w:rPr>
          <w:color w:val="6E6158"/>
        </w:rPr>
        <w:t>analysis,</w:t>
      </w:r>
      <w:r>
        <w:rPr>
          <w:color w:val="6E6158"/>
          <w:spacing w:val="16"/>
        </w:rPr>
        <w:t> </w:t>
      </w:r>
      <w:r>
        <w:rPr>
          <w:color w:val="6E6158"/>
        </w:rPr>
        <w:t>contract</w:t>
      </w:r>
      <w:r>
        <w:rPr>
          <w:color w:val="6E6158"/>
          <w:spacing w:val="16"/>
        </w:rPr>
        <w:t> </w:t>
      </w:r>
      <w:r>
        <w:rPr>
          <w:color w:val="6E6158"/>
        </w:rPr>
        <w:t>negotiations,</w:t>
      </w:r>
      <w:r>
        <w:rPr>
          <w:color w:val="6E6158"/>
          <w:spacing w:val="16"/>
        </w:rPr>
        <w:t> </w:t>
      </w:r>
      <w:r>
        <w:rPr>
          <w:color w:val="6E6158"/>
        </w:rPr>
        <w:t>permitting,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public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relations.</w:t>
      </w:r>
    </w:p>
    <w:p>
      <w:pPr>
        <w:pStyle w:val="BodyText"/>
        <w:spacing w:before="14"/>
      </w:pPr>
    </w:p>
    <w:p>
      <w:pPr>
        <w:pStyle w:val="BodyText"/>
        <w:spacing w:line="295" w:lineRule="auto"/>
        <w:ind w:left="99" w:right="224"/>
      </w:pPr>
      <w:r>
        <w:rPr>
          <w:color w:val="6E6158"/>
        </w:rPr>
        <w:t>Brent has also assisted both public agencies and private businesses with public bidding and</w:t>
      </w:r>
      <w:r>
        <w:rPr>
          <w:color w:val="6E6158"/>
          <w:spacing w:val="40"/>
        </w:rPr>
        <w:t> </w:t>
      </w:r>
      <w:r>
        <w:rPr>
          <w:color w:val="6E6158"/>
        </w:rPr>
        <w:t>compliance with prevailing wage and public works requirements. He is experienced in working</w:t>
      </w:r>
      <w:r>
        <w:rPr>
          <w:color w:val="6E6158"/>
          <w:spacing w:val="40"/>
        </w:rPr>
        <w:t> </w:t>
      </w:r>
      <w:r>
        <w:rPr>
          <w:color w:val="6E6158"/>
        </w:rPr>
        <w:t>with state and federal agencies including the California Alcoholic Beverage Control Board, the</w:t>
      </w:r>
      <w:r>
        <w:rPr>
          <w:color w:val="6E6158"/>
          <w:spacing w:val="40"/>
        </w:rPr>
        <w:t> </w:t>
      </w:r>
      <w:r>
        <w:rPr>
          <w:color w:val="6E6158"/>
        </w:rPr>
        <w:t>State Water Board, the Air Resources Board Department of Industrial Relations, and the Federal</w:t>
      </w:r>
      <w:r>
        <w:rPr>
          <w:color w:val="6E6158"/>
          <w:spacing w:val="40"/>
        </w:rPr>
        <w:t> </w:t>
      </w:r>
      <w:r>
        <w:rPr>
          <w:color w:val="6E6158"/>
        </w:rPr>
        <w:t>Environmental Protection Agency.</w:t>
      </w:r>
    </w:p>
    <w:p>
      <w:pPr>
        <w:pStyle w:val="BodyText"/>
        <w:spacing w:line="297" w:lineRule="auto" w:before="195"/>
        <w:ind w:left="99" w:right="231"/>
      </w:pPr>
      <w:r>
        <w:rPr>
          <w:color w:val="6E6158"/>
        </w:rPr>
        <w:t>In the past, Brent spent time as a city planner, as well as a key manager with one of the nation’s</w:t>
      </w:r>
      <w:r>
        <w:rPr>
          <w:color w:val="6E6158"/>
          <w:spacing w:val="40"/>
        </w:rPr>
        <w:t> </w:t>
      </w:r>
      <w:r>
        <w:rPr>
          <w:color w:val="6E6158"/>
        </w:rPr>
        <w:t>leading waste management companies. While in the waste management industry, he was</w:t>
      </w:r>
      <w:r>
        <w:rPr>
          <w:color w:val="6E6158"/>
          <w:spacing w:val="40"/>
        </w:rPr>
        <w:t> </w:t>
      </w:r>
      <w:r>
        <w:rPr>
          <w:color w:val="6E6158"/>
        </w:rPr>
        <w:t>involved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mergers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acquisitions,</w:t>
      </w:r>
      <w:r>
        <w:rPr>
          <w:color w:val="6E6158"/>
          <w:spacing w:val="33"/>
        </w:rPr>
        <w:t> </w:t>
      </w:r>
      <w:r>
        <w:rPr>
          <w:color w:val="6E6158"/>
        </w:rPr>
        <w:t>permitting,</w:t>
      </w:r>
      <w:r>
        <w:rPr>
          <w:color w:val="6E6158"/>
          <w:spacing w:val="33"/>
        </w:rPr>
        <w:t> </w:t>
      </w:r>
      <w:r>
        <w:rPr>
          <w:color w:val="6E6158"/>
        </w:rPr>
        <w:t>construction,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start-up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waste-to-energy facility, in addition to leading operations across several states. Through this work, Brent</w:t>
      </w:r>
      <w:r>
        <w:rPr>
          <w:color w:val="6E6158"/>
          <w:spacing w:val="40"/>
        </w:rPr>
        <w:t> </w:t>
      </w:r>
      <w:r>
        <w:rPr>
          <w:color w:val="6E6158"/>
        </w:rPr>
        <w:t>worked closely with and obtained permits through not only the United States Environmental</w:t>
      </w:r>
      <w:r>
        <w:rPr>
          <w:color w:val="6E6158"/>
          <w:spacing w:val="40"/>
        </w:rPr>
        <w:t> </w:t>
      </w:r>
      <w:r>
        <w:rPr>
          <w:color w:val="6E6158"/>
        </w:rPr>
        <w:t>Protection</w:t>
      </w:r>
      <w:r>
        <w:rPr>
          <w:color w:val="6E6158"/>
          <w:spacing w:val="35"/>
        </w:rPr>
        <w:t> </w:t>
      </w:r>
      <w:r>
        <w:rPr>
          <w:color w:val="6E6158"/>
        </w:rPr>
        <w:t>Agency,</w:t>
      </w:r>
      <w:r>
        <w:rPr>
          <w:color w:val="6E6158"/>
          <w:spacing w:val="35"/>
        </w:rPr>
        <w:t> </w:t>
      </w:r>
      <w:r>
        <w:rPr>
          <w:color w:val="6E6158"/>
        </w:rPr>
        <w:t>but</w:t>
      </w:r>
      <w:r>
        <w:rPr>
          <w:color w:val="6E6158"/>
          <w:spacing w:val="35"/>
        </w:rPr>
        <w:t> </w:t>
      </w:r>
      <w:r>
        <w:rPr>
          <w:color w:val="6E6158"/>
        </w:rPr>
        <w:t>also</w:t>
      </w:r>
      <w:r>
        <w:rPr>
          <w:color w:val="6E6158"/>
          <w:spacing w:val="35"/>
        </w:rPr>
        <w:t> </w:t>
      </w:r>
      <w:r>
        <w:rPr>
          <w:color w:val="6E6158"/>
        </w:rPr>
        <w:t>numerous</w:t>
      </w:r>
      <w:r>
        <w:rPr>
          <w:color w:val="6E6158"/>
          <w:spacing w:val="35"/>
        </w:rPr>
        <w:t> </w:t>
      </w:r>
      <w:r>
        <w:rPr>
          <w:color w:val="6E6158"/>
        </w:rPr>
        <w:t>states</w:t>
      </w:r>
      <w:r>
        <w:rPr>
          <w:color w:val="6E6158"/>
          <w:spacing w:val="35"/>
        </w:rPr>
        <w:t> </w:t>
      </w:r>
      <w:r>
        <w:rPr>
          <w:color w:val="6E6158"/>
        </w:rPr>
        <w:t>across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country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throughout</w:t>
      </w:r>
      <w:r>
        <w:rPr>
          <w:color w:val="6E6158"/>
          <w:spacing w:val="35"/>
        </w:rPr>
        <w:t> </w:t>
      </w:r>
      <w:r>
        <w:rPr>
          <w:color w:val="6E6158"/>
        </w:rPr>
        <w:t>California.</w:t>
      </w:r>
    </w:p>
    <w:p>
      <w:pPr>
        <w:pStyle w:val="BodyText"/>
        <w:spacing w:line="292" w:lineRule="auto"/>
        <w:ind w:left="99" w:right="24"/>
      </w:pPr>
      <w:r>
        <w:rPr>
          <w:color w:val="6E6158"/>
        </w:rPr>
        <w:t>Throughout his career, Brent has been involved in leading controversial and high-profile projects.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extensive</w:t>
      </w:r>
      <w:r>
        <w:rPr>
          <w:color w:val="6E6158"/>
          <w:spacing w:val="27"/>
        </w:rPr>
        <w:t> </w:t>
      </w:r>
      <w:r>
        <w:rPr>
          <w:color w:val="6E6158"/>
        </w:rPr>
        <w:t>experience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local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regional</w:t>
      </w:r>
      <w:r>
        <w:rPr>
          <w:color w:val="6E6158"/>
          <w:spacing w:val="27"/>
        </w:rPr>
        <w:t> </w:t>
      </w:r>
      <w:r>
        <w:rPr>
          <w:color w:val="6E6158"/>
        </w:rPr>
        <w:t>planning,</w:t>
      </w:r>
      <w:r>
        <w:rPr>
          <w:color w:val="6E6158"/>
          <w:spacing w:val="27"/>
        </w:rPr>
        <w:t> </w:t>
      </w:r>
      <w:r>
        <w:rPr>
          <w:color w:val="6E6158"/>
        </w:rPr>
        <w:t>business</w:t>
      </w:r>
      <w:r>
        <w:rPr>
          <w:color w:val="6E6158"/>
          <w:spacing w:val="27"/>
        </w:rPr>
        <w:t> </w:t>
      </w:r>
      <w:r>
        <w:rPr>
          <w:color w:val="6E6158"/>
        </w:rPr>
        <w:t>management,</w:t>
      </w:r>
      <w:r>
        <w:rPr>
          <w:color w:val="6E6158"/>
          <w:spacing w:val="27"/>
        </w:rPr>
        <w:t> </w:t>
      </w:r>
      <w:r>
        <w:rPr>
          <w:color w:val="6E6158"/>
        </w:rPr>
        <w:t>regulatory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391"/>
      </w:pPr>
      <w:r>
        <w:rPr>
          <w:color w:val="6E6158"/>
        </w:rPr>
        <w:t>compliance, and construction management, he is uniquely suited to assist clients in all </w:t>
      </w:r>
      <w:r>
        <w:rPr>
          <w:color w:val="6E6158"/>
        </w:rPr>
        <w:t>aspects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business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development</w:t>
      </w:r>
      <w:r>
        <w:rPr>
          <w:color w:val="6E6158"/>
          <w:spacing w:val="34"/>
        </w:rPr>
        <w:t> </w:t>
      </w:r>
      <w:r>
        <w:rPr>
          <w:color w:val="6E6158"/>
        </w:rPr>
        <w:t>activities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successfully</w:t>
      </w:r>
      <w:r>
        <w:rPr>
          <w:color w:val="6E6158"/>
          <w:spacing w:val="34"/>
        </w:rPr>
        <w:t> </w:t>
      </w:r>
      <w:r>
        <w:rPr>
          <w:color w:val="6E6158"/>
        </w:rPr>
        <w:t>bring</w:t>
      </w:r>
      <w:r>
        <w:rPr>
          <w:color w:val="6E6158"/>
          <w:spacing w:val="34"/>
        </w:rPr>
        <w:t> </w:t>
      </w:r>
      <w:r>
        <w:rPr>
          <w:color w:val="6E6158"/>
        </w:rPr>
        <w:t>their</w:t>
      </w:r>
      <w:r>
        <w:rPr>
          <w:color w:val="6E6158"/>
          <w:spacing w:val="34"/>
        </w:rPr>
        <w:t> </w:t>
      </w:r>
      <w:r>
        <w:rPr>
          <w:color w:val="6E6158"/>
        </w:rPr>
        <w:t>projects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completion.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5251"/>
      </w:pPr>
      <w:r>
        <w:rPr>
          <w:color w:val="6E6158"/>
        </w:rPr>
        <w:t>J.D., University of La Verne, College of </w:t>
      </w:r>
      <w:r>
        <w:rPr>
          <w:color w:val="6E6158"/>
        </w:rPr>
        <w:t>Law</w:t>
      </w:r>
      <w:r>
        <w:rPr>
          <w:color w:val="6E6158"/>
        </w:rPr>
        <w:t> B.A., The Evergreen State College</w:t>
      </w:r>
    </w:p>
    <w:p>
      <w:pPr>
        <w:pStyle w:val="Heading1"/>
        <w:spacing w:before="28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line="420" w:lineRule="auto" w:before="182"/>
        <w:ind w:left="99" w:right="5251"/>
      </w:pPr>
      <w:r>
        <w:rPr>
          <w:color w:val="6E6158"/>
        </w:rPr>
        <w:t>Government Relations &amp; </w:t>
      </w:r>
      <w:r>
        <w:rPr>
          <w:color w:val="6E6158"/>
        </w:rPr>
        <w:t>Regulatory </w:t>
      </w:r>
      <w:r>
        <w:rPr>
          <w:color w:val="6E6158"/>
          <w:spacing w:val="-2"/>
        </w:rPr>
        <w:t>Logistics</w:t>
      </w:r>
    </w:p>
    <w:p>
      <w:pPr>
        <w:pStyle w:val="BodyText"/>
        <w:spacing w:line="422" w:lineRule="auto"/>
        <w:ind w:left="99" w:right="7529"/>
      </w:pPr>
      <w:r>
        <w:rPr>
          <w:color w:val="6E6158"/>
        </w:rPr>
        <w:t>Mining Law</w:t>
      </w:r>
      <w:r>
        <w:rPr>
          <w:color w:val="6E6158"/>
          <w:spacing w:val="40"/>
        </w:rPr>
        <w:t> </w:t>
      </w:r>
      <w:r>
        <w:rPr>
          <w:color w:val="6E6158"/>
        </w:rPr>
        <w:t>Natural Resources Food &amp; Beverage 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Heading1"/>
        <w:spacing w:before="277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5" w:lineRule="auto"/>
        <w:ind w:left="99" w:right="224"/>
      </w:pPr>
      <w:r>
        <w:rPr>
          <w:color w:val="6E6158"/>
        </w:rPr>
        <w:t>Liquor licensing of over 150 retail stores across California during the past six years. Focus on land</w:t>
      </w:r>
      <w:r>
        <w:rPr>
          <w:color w:val="6E6158"/>
          <w:spacing w:val="40"/>
        </w:rPr>
        <w:t> </w:t>
      </w:r>
      <w:r>
        <w:rPr>
          <w:color w:val="6E6158"/>
        </w:rPr>
        <w:t>use approvals, including compliance with the California Environmental Quality Act, for large</w:t>
      </w:r>
      <w:r>
        <w:rPr>
          <w:color w:val="6E6158"/>
          <w:spacing w:val="40"/>
        </w:rPr>
        <w:t> </w:t>
      </w:r>
      <w:r>
        <w:rPr>
          <w:color w:val="6E6158"/>
        </w:rPr>
        <w:t>shopping</w:t>
      </w:r>
      <w:r>
        <w:rPr>
          <w:color w:val="6E6158"/>
          <w:spacing w:val="38"/>
        </w:rPr>
        <w:t> </w:t>
      </w:r>
      <w:r>
        <w:rPr>
          <w:color w:val="6E6158"/>
        </w:rPr>
        <w:t>centers,</w:t>
      </w:r>
      <w:r>
        <w:rPr>
          <w:color w:val="6E6158"/>
          <w:spacing w:val="38"/>
        </w:rPr>
        <w:t> </w:t>
      </w:r>
      <w:r>
        <w:rPr>
          <w:color w:val="6E6158"/>
        </w:rPr>
        <w:t>public</w:t>
      </w:r>
      <w:r>
        <w:rPr>
          <w:color w:val="6E6158"/>
          <w:spacing w:val="38"/>
        </w:rPr>
        <w:t> </w:t>
      </w:r>
      <w:r>
        <w:rPr>
          <w:color w:val="6E6158"/>
        </w:rPr>
        <w:t>contracting,</w:t>
      </w:r>
      <w:r>
        <w:rPr>
          <w:color w:val="6E6158"/>
          <w:spacing w:val="38"/>
        </w:rPr>
        <w:t> </w:t>
      </w:r>
      <w:r>
        <w:rPr>
          <w:color w:val="6E6158"/>
        </w:rPr>
        <w:t>protests</w:t>
      </w:r>
      <w:r>
        <w:rPr>
          <w:color w:val="6E6158"/>
          <w:spacing w:val="38"/>
        </w:rPr>
        <w:t> </w:t>
      </w:r>
      <w:r>
        <w:rPr>
          <w:color w:val="6E6158"/>
        </w:rPr>
        <w:t>against</w:t>
      </w:r>
      <w:r>
        <w:rPr>
          <w:color w:val="6E6158"/>
          <w:spacing w:val="38"/>
        </w:rPr>
        <w:t> </w:t>
      </w:r>
      <w:r>
        <w:rPr>
          <w:color w:val="6E6158"/>
        </w:rPr>
        <w:t>public</w:t>
      </w:r>
      <w:r>
        <w:rPr>
          <w:color w:val="6E6158"/>
          <w:spacing w:val="38"/>
        </w:rPr>
        <w:t> </w:t>
      </w:r>
      <w:r>
        <w:rPr>
          <w:color w:val="6E6158"/>
        </w:rPr>
        <w:t>contracts,</w:t>
      </w:r>
      <w:r>
        <w:rPr>
          <w:color w:val="6E6158"/>
          <w:spacing w:val="38"/>
        </w:rPr>
        <w:t> </w:t>
      </w:r>
      <w:r>
        <w:rPr>
          <w:color w:val="6E6158"/>
        </w:rPr>
        <w:t>prevailing</w:t>
      </w:r>
      <w:r>
        <w:rPr>
          <w:color w:val="6E6158"/>
          <w:spacing w:val="38"/>
        </w:rPr>
        <w:t> </w:t>
      </w:r>
      <w:r>
        <w:rPr>
          <w:color w:val="6E6158"/>
        </w:rPr>
        <w:t>wage</w:t>
      </w:r>
      <w:r>
        <w:rPr>
          <w:color w:val="6E6158"/>
          <w:spacing w:val="38"/>
        </w:rPr>
        <w:t> </w:t>
      </w:r>
      <w:r>
        <w:rPr>
          <w:color w:val="6E6158"/>
        </w:rPr>
        <w:t>law and groundwater sustainability.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Understanding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Force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Majeure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Land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Use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Fennemore</w:t>
      </w:r>
      <w:r>
        <w:rPr>
          <w:color w:val="6E6158"/>
          <w:spacing w:val="11"/>
        </w:rPr>
        <w:t> </w:t>
      </w:r>
      <w:r>
        <w:rPr>
          <w:color w:val="6E6158"/>
        </w:rPr>
        <w:t>Blog,</w:t>
      </w:r>
      <w:r>
        <w:rPr>
          <w:color w:val="6E6158"/>
          <w:spacing w:val="11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6,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left="99" w:right="391"/>
      </w:pPr>
      <w:r>
        <w:rPr>
          <w:color w:val="6E6158"/>
        </w:rPr>
        <w:t>Co-Author, “Superior Court Analyzes the Housing Accountability Act and a Vesting </w:t>
      </w:r>
      <w:r>
        <w:rPr>
          <w:color w:val="6E6158"/>
        </w:rPr>
        <w:t>Tentative Tract Map,” California Land Use Law And Policy Reporter, April 2025</w:t>
      </w:r>
    </w:p>
    <w:p>
      <w:pPr>
        <w:pStyle w:val="BodyText"/>
        <w:spacing w:line="292" w:lineRule="auto" w:before="123"/>
        <w:ind w:left="99" w:right="231"/>
      </w:pPr>
      <w:r>
        <w:rPr>
          <w:color w:val="6E6158"/>
        </w:rPr>
        <w:t>Author, “California Assembly Bill 52 – A Study in Frustration or a Legislative Success?”, California</w:t>
      </w:r>
      <w:r>
        <w:rPr>
          <w:color w:val="6E6158"/>
          <w:spacing w:val="40"/>
        </w:rPr>
        <w:t> </w:t>
      </w:r>
      <w:r>
        <w:rPr>
          <w:color w:val="6E6158"/>
        </w:rPr>
        <w:t>Land Use Reporter, November 2015</w:t>
      </w:r>
    </w:p>
    <w:p>
      <w:pPr>
        <w:pStyle w:val="BodyText"/>
        <w:spacing w:line="292" w:lineRule="auto" w:before="132"/>
        <w:ind w:left="99" w:right="391"/>
      </w:pPr>
      <w:r>
        <w:rPr>
          <w:color w:val="6E6158"/>
        </w:rPr>
        <w:t>Author, “California Department of Water Resources Study Prepared by NASA shows Central Valley Land Dropping at a Faster Pace Due to Groundwater Pumping,” California Water Reporter, October 2015</w:t>
      </w:r>
    </w:p>
    <w:p>
      <w:pPr>
        <w:pStyle w:val="BodyText"/>
        <w:spacing w:line="302" w:lineRule="auto" w:before="124"/>
        <w:ind w:left="99" w:right="231"/>
      </w:pPr>
      <w:r>
        <w:rPr>
          <w:color w:val="6E6158"/>
        </w:rPr>
        <w:t>Author, “One Billion Dollars in Emergency Funds for Drought Relief Approved by </w:t>
      </w:r>
      <w:r>
        <w:rPr>
          <w:color w:val="6E6158"/>
        </w:rPr>
        <w:t>California Legislature and signed by Governor Brown,” California Water Reporter, May 2015</w:t>
      </w:r>
    </w:p>
    <w:p>
      <w:pPr>
        <w:pStyle w:val="BodyText"/>
        <w:spacing w:before="10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5550"/>
      </w:pPr>
      <w:r>
        <w:rPr>
          <w:color w:val="6E6158"/>
        </w:rPr>
        <w:t>Member, State Bar of California Member, American Bar </w:t>
      </w:r>
      <w:r>
        <w:rPr>
          <w:color w:val="6E6158"/>
        </w:rPr>
        <w:t>Association</w:t>
      </w:r>
    </w:p>
    <w:p>
      <w:pPr>
        <w:pStyle w:val="Heading1"/>
        <w:spacing w:before="290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bmcmanigal@fennemorelaw.com" TargetMode="External"/><Relationship Id="rId11" Type="http://schemas.openxmlformats.org/officeDocument/2006/relationships/hyperlink" Target="https://www.fennemorelaw.com/understanding-force-majeure-in-land-us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Brent McManigal - Fennemore</dc:title>
  <dcterms:created xsi:type="dcterms:W3CDTF">2026-06-12T10:11:55Z</dcterms:created>
  <dcterms:modified xsi:type="dcterms:W3CDTF">2026-06-12T10:11:55Z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