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-4636382</wp:posOffset>
                </wp:positionV>
                <wp:extent cx="6071870" cy="4632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32325"/>
                          <a:chExt cx="6071870" cy="4632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79575">
                                <a:moveTo>
                                  <a:pt x="6071591" y="1679376"/>
                                </a:moveTo>
                                <a:lnTo>
                                  <a:pt x="0" y="167937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79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Brett Siglin 5669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3620" y="1369338"/>
                            <a:ext cx="17780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320675">
                                <a:moveTo>
                                  <a:pt x="17775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7555" y="320382"/>
                                </a:lnTo>
                                <a:lnTo>
                                  <a:pt x="1777555" y="315214"/>
                                </a:lnTo>
                                <a:close/>
                              </a:path>
                              <a:path w="1778000" h="320675">
                                <a:moveTo>
                                  <a:pt x="1777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7555" y="5168"/>
                                </a:lnTo>
                                <a:lnTo>
                                  <a:pt x="1777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64754" y="763308"/>
                            <a:ext cx="179070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BRETT 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SIGLIN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7499" y="1859626"/>
                            <a:ext cx="178498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1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602.916.5533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bsiglin@fennemorelaw.com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9801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1932" y="3482163"/>
                            <a:ext cx="3463925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Whatever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task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undertake,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heart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soul.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courteous,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discouraged.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blame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anybody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your mistakes and failures.</w:t>
                              </w:r>
                            </w:p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Bernard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Baruch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9801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5.069519pt;width:478.1pt;height:364.75pt;mso-position-horizontal-relative:page;mso-position-vertical-relative:paragraph;z-index:15728640" id="docshapegroup1" coordorigin="1336,-7301" coordsize="9562,7295">
                <v:rect style="position:absolute;left:1336;top:-2753;width:9562;height:2645" id="docshape2" filled="true" fillcolor="#002e6d" stroked="false">
                  <v:fill type="solid"/>
                </v:rect>
                <v:shape style="position:absolute;left:1336;top:-7302;width:2165;height:424" type="#_x0000_t75" id="docshape3" alt="Fennemore" href="https://www.fennemorelaw.com/" stroked="false">
                  <v:imagedata r:id="rId5" o:title=""/>
                </v:shape>
                <v:shape style="position:absolute;left:1336;top:-6879;width:4785;height:4126" type="#_x0000_t75" id="docshape4" alt="Brett Siglin 5669web" stroked="false">
                  <v:imagedata r:id="rId7" o:title=""/>
                </v:shape>
                <v:rect style="position:absolute;left:6121;top:-6879;width:4777;height:4126" id="docshape5" filled="true" fillcolor="#262424" stroked="false">
                  <v:fill type="solid"/>
                </v:rect>
                <v:shape style="position:absolute;left:7105;top:-5145;width:2800;height:505" id="docshape6" coordorigin="7106,-5145" coordsize="2800,505" path="m9905,-4649l7106,-4649,7106,-4640,9905,-4640,9905,-4649xm9905,-5145l7106,-5145,7106,-5137,9905,-5137,9905,-514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07;top:-6100;width:2820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BRETT 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SIGLIN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1;top:-4373;width:2811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1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602.916.5533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bsiglin@fennemorelaw.com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793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02;top:-1818;width:5455;height:1054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Whatever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task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undertake,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heart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soul.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 </w:t>
                        </w:r>
                        <w:r>
                          <w:rPr>
                            <w:color w:val="FFFFFF"/>
                            <w:sz w:val="16"/>
                          </w:rPr>
                          <w:t>courteous,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discouraged.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.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blame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anybody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your mistakes and failures.</w:t>
                        </w:r>
                      </w:p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Bernard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M.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Baruch</w:t>
                        </w:r>
                      </w:p>
                    </w:txbxContent>
                  </v:textbox>
                  <w10:wrap type="none"/>
                </v:shape>
                <v:shape style="position:absolute;left:8985;top:-1793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BRETT</w:t>
      </w:r>
      <w:r>
        <w:rPr>
          <w:color w:val="FF8100"/>
          <w:spacing w:val="5"/>
        </w:rPr>
        <w:t> </w:t>
      </w:r>
      <w:r>
        <w:rPr>
          <w:color w:val="FF8100"/>
        </w:rPr>
        <w:t>D.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SIGLIN</w:t>
      </w:r>
    </w:p>
    <w:p>
      <w:pPr>
        <w:pStyle w:val="BodyText"/>
        <w:spacing w:line="295" w:lineRule="auto" w:before="147"/>
        <w:ind w:right="76"/>
      </w:pPr>
      <w:r>
        <w:rPr>
          <w:color w:val="6E6158"/>
        </w:rPr>
        <w:t>Brett Siglin is a director in our Real Estate practice group with extensive corporate and real estate</w:t>
      </w:r>
      <w:r>
        <w:rPr>
          <w:color w:val="6E6158"/>
          <w:spacing w:val="40"/>
        </w:rPr>
        <w:t> </w:t>
      </w:r>
      <w:r>
        <w:rPr>
          <w:color w:val="6E6158"/>
        </w:rPr>
        <w:t>experience who works out of our Phoenix office. He focuses his practice on a broad range of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9"/>
        </w:rPr>
        <w:t> </w:t>
      </w:r>
      <w:r>
        <w:rPr>
          <w:color w:val="6E6158"/>
        </w:rPr>
        <w:t>law</w:t>
      </w:r>
      <w:r>
        <w:rPr>
          <w:color w:val="6E6158"/>
          <w:spacing w:val="39"/>
        </w:rPr>
        <w:t> </w:t>
      </w:r>
      <w:r>
        <w:rPr>
          <w:color w:val="6E6158"/>
        </w:rPr>
        <w:t>matters</w:t>
      </w:r>
      <w:r>
        <w:rPr>
          <w:color w:val="6E6158"/>
          <w:spacing w:val="39"/>
        </w:rPr>
        <w:t> </w:t>
      </w:r>
      <w:r>
        <w:rPr>
          <w:color w:val="6E6158"/>
        </w:rPr>
        <w:t>involving</w:t>
      </w:r>
      <w:r>
        <w:rPr>
          <w:color w:val="6E6158"/>
          <w:spacing w:val="39"/>
        </w:rPr>
        <w:t> </w:t>
      </w:r>
      <w:r>
        <w:rPr>
          <w:color w:val="6E6158"/>
        </w:rPr>
        <w:t>corporate</w:t>
      </w:r>
      <w:r>
        <w:rPr>
          <w:color w:val="6E6158"/>
          <w:spacing w:val="39"/>
        </w:rPr>
        <w:t> </w:t>
      </w:r>
      <w:r>
        <w:rPr>
          <w:color w:val="6E6158"/>
        </w:rPr>
        <w:t>structuring,</w:t>
      </w:r>
      <w:r>
        <w:rPr>
          <w:color w:val="6E6158"/>
          <w:spacing w:val="39"/>
        </w:rPr>
        <w:t> </w:t>
      </w:r>
      <w:r>
        <w:rPr>
          <w:color w:val="6E6158"/>
        </w:rPr>
        <w:t>joint</w:t>
      </w:r>
      <w:r>
        <w:rPr>
          <w:color w:val="6E6158"/>
          <w:spacing w:val="39"/>
        </w:rPr>
        <w:t> </w:t>
      </w:r>
      <w:r>
        <w:rPr>
          <w:color w:val="6E6158"/>
        </w:rPr>
        <w:t>ventures,</w:t>
      </w:r>
      <w:r>
        <w:rPr>
          <w:color w:val="6E6158"/>
          <w:spacing w:val="39"/>
        </w:rPr>
        <w:t> </w:t>
      </w:r>
      <w:r>
        <w:rPr>
          <w:color w:val="6E6158"/>
        </w:rPr>
        <w:t>bond</w:t>
      </w:r>
      <w:r>
        <w:rPr>
          <w:color w:val="6E6158"/>
          <w:spacing w:val="39"/>
        </w:rPr>
        <w:t> </w:t>
      </w:r>
      <w:r>
        <w:rPr>
          <w:color w:val="6E6158"/>
        </w:rPr>
        <w:t>financing,</w:t>
      </w:r>
      <w:r>
        <w:rPr>
          <w:color w:val="6E6158"/>
          <w:spacing w:val="39"/>
        </w:rPr>
        <w:t> </w:t>
      </w:r>
      <w:r>
        <w:rPr>
          <w:color w:val="6E6158"/>
        </w:rPr>
        <w:t>syndication of</w:t>
      </w:r>
      <w:r>
        <w:rPr>
          <w:color w:val="6E6158"/>
          <w:spacing w:val="36"/>
        </w:rPr>
        <w:t> </w:t>
      </w:r>
      <w:r>
        <w:rPr>
          <w:color w:val="6E6158"/>
        </w:rPr>
        <w:t>equity,</w:t>
      </w:r>
      <w:r>
        <w:rPr>
          <w:color w:val="6E6158"/>
          <w:spacing w:val="36"/>
        </w:rPr>
        <w:t> </w:t>
      </w:r>
      <w:r>
        <w:rPr>
          <w:color w:val="6E6158"/>
        </w:rPr>
        <w:t>contract</w:t>
      </w:r>
      <w:r>
        <w:rPr>
          <w:color w:val="6E6158"/>
          <w:spacing w:val="36"/>
        </w:rPr>
        <w:t> </w:t>
      </w:r>
      <w:r>
        <w:rPr>
          <w:color w:val="6E6158"/>
        </w:rPr>
        <w:t>negotiation,</w:t>
      </w:r>
      <w:r>
        <w:rPr>
          <w:color w:val="6E6158"/>
          <w:spacing w:val="36"/>
        </w:rPr>
        <w:t> </w:t>
      </w:r>
      <w:r>
        <w:rPr>
          <w:color w:val="6E6158"/>
        </w:rPr>
        <w:t>regulation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compliance,</w:t>
      </w:r>
      <w:r>
        <w:rPr>
          <w:color w:val="6E6158"/>
          <w:spacing w:val="36"/>
        </w:rPr>
        <w:t> </w:t>
      </w:r>
      <w:r>
        <w:rPr>
          <w:color w:val="6E6158"/>
        </w:rPr>
        <w:t>tax</w:t>
      </w:r>
      <w:r>
        <w:rPr>
          <w:color w:val="6E6158"/>
          <w:spacing w:val="36"/>
        </w:rPr>
        <w:t> </w:t>
      </w:r>
      <w:r>
        <w:rPr>
          <w:color w:val="6E6158"/>
        </w:rPr>
        <w:t>credits,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tax</w:t>
      </w:r>
    </w:p>
    <w:p>
      <w:pPr>
        <w:pStyle w:val="BodyText"/>
        <w:spacing w:line="292" w:lineRule="auto" w:before="9"/>
        <w:ind w:right="185"/>
        <w:jc w:val="both"/>
      </w:pPr>
      <w:r>
        <w:rPr>
          <w:color w:val="6E6158"/>
        </w:rPr>
        <w:t>exemptions, and real estate acquisition and development.</w:t>
      </w:r>
      <w:r>
        <w:rPr>
          <w:color w:val="6E6158"/>
          <w:spacing w:val="40"/>
        </w:rPr>
        <w:t> </w:t>
      </w:r>
      <w:r>
        <w:rPr>
          <w:color w:val="6E6158"/>
        </w:rPr>
        <w:t>Brett represents developers, </w:t>
      </w:r>
      <w:r>
        <w:rPr>
          <w:color w:val="6E6158"/>
        </w:rPr>
        <w:t>lenders, investors, syndicators, real estate investment funds, as well as other businesses and public sector </w:t>
      </w:r>
      <w:r>
        <w:rPr>
          <w:color w:val="6E6158"/>
          <w:spacing w:val="-2"/>
        </w:rPr>
        <w:t>entities.</w:t>
      </w:r>
    </w:p>
    <w:p>
      <w:pPr>
        <w:pStyle w:val="BodyText"/>
        <w:spacing w:before="198"/>
        <w:jc w:val="both"/>
      </w:pPr>
      <w:r>
        <w:rPr>
          <w:color w:val="6E6158"/>
        </w:rPr>
        <w:t>Brett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extensive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advising</w:t>
      </w:r>
      <w:r>
        <w:rPr>
          <w:color w:val="6E6158"/>
          <w:spacing w:val="12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negotiation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debt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terms;</w:t>
      </w:r>
    </w:p>
    <w:p>
      <w:pPr>
        <w:pStyle w:val="BodyText"/>
        <w:spacing w:line="292" w:lineRule="auto" w:before="60"/>
      </w:pPr>
      <w:r>
        <w:rPr>
          <w:color w:val="6E6158"/>
        </w:rPr>
        <w:t>development agreements and construction contracts; compliance issues; state and local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incentives; and providing wide-ranging federal and state tax advice.</w:t>
      </w:r>
    </w:p>
    <w:p>
      <w:pPr>
        <w:pStyle w:val="BodyText"/>
        <w:spacing w:line="295" w:lineRule="auto" w:before="196"/>
        <w:ind w:right="115"/>
      </w:pPr>
      <w:r>
        <w:rPr>
          <w:color w:val="6E6158"/>
        </w:rPr>
        <w:t>Originally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Midwest,</w:t>
      </w:r>
      <w:r>
        <w:rPr>
          <w:color w:val="6E6158"/>
          <w:spacing w:val="27"/>
        </w:rPr>
        <w:t> </w:t>
      </w:r>
      <w:r>
        <w:rPr>
          <w:color w:val="6E6158"/>
        </w:rPr>
        <w:t>Brett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an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U.S.</w:t>
      </w:r>
      <w:r>
        <w:rPr>
          <w:color w:val="6E6158"/>
          <w:spacing w:val="27"/>
        </w:rPr>
        <w:t> </w:t>
      </w:r>
      <w:r>
        <w:rPr>
          <w:color w:val="6E6158"/>
        </w:rPr>
        <w:t>Department</w:t>
      </w:r>
      <w:r>
        <w:rPr>
          <w:color w:val="6E6158"/>
          <w:spacing w:val="27"/>
        </w:rPr>
        <w:t> </w:t>
      </w:r>
      <w:r>
        <w:rPr>
          <w:color w:val="6E6158"/>
        </w:rPr>
        <w:t>of Housing and Urban Development in Washington, D.C. for four years before entering private</w:t>
      </w:r>
      <w:r>
        <w:rPr>
          <w:color w:val="6E6158"/>
          <w:spacing w:val="40"/>
        </w:rPr>
        <w:t> </w:t>
      </w:r>
      <w:r>
        <w:rPr>
          <w:color w:val="6E6158"/>
        </w:rPr>
        <w:t>practice in the Mountain West.</w:t>
      </w:r>
      <w:r>
        <w:rPr>
          <w:color w:val="6E6158"/>
          <w:spacing w:val="78"/>
        </w:rPr>
        <w:t> </w:t>
      </w:r>
      <w:r>
        <w:rPr>
          <w:color w:val="6E6158"/>
        </w:rPr>
        <w:t>He’s established himself as one of the go-to tax advantaged real estate</w:t>
      </w:r>
      <w:r>
        <w:rPr>
          <w:color w:val="6E6158"/>
          <w:spacing w:val="14"/>
        </w:rPr>
        <w:t> </w:t>
      </w:r>
      <w:r>
        <w:rPr>
          <w:color w:val="6E6158"/>
        </w:rPr>
        <w:t>attorneys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market.</w:t>
      </w:r>
      <w:r>
        <w:rPr>
          <w:color w:val="6E6158"/>
          <w:spacing w:val="14"/>
        </w:rPr>
        <w:t> </w:t>
      </w:r>
      <w:r>
        <w:rPr>
          <w:color w:val="6E6158"/>
        </w:rPr>
        <w:t>He</w:t>
      </w:r>
      <w:r>
        <w:rPr>
          <w:color w:val="6E6158"/>
          <w:spacing w:val="14"/>
        </w:rPr>
        <w:t> </w:t>
      </w:r>
      <w:r>
        <w:rPr>
          <w:color w:val="6E6158"/>
        </w:rPr>
        <w:t>puts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his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first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unique</w:t>
      </w:r>
      <w:r>
        <w:rPr>
          <w:color w:val="6E6158"/>
          <w:spacing w:val="14"/>
        </w:rPr>
        <w:t> </w:t>
      </w:r>
      <w:r>
        <w:rPr>
          <w:color w:val="6E6158"/>
        </w:rPr>
        <w:t>ability to tackle complex issues, absorb large volumes of diligence and provide advice to clients in</w:t>
      </w:r>
      <w:r>
        <w:rPr>
          <w:color w:val="6E6158"/>
          <w:spacing w:val="40"/>
        </w:rPr>
        <w:t> </w:t>
      </w:r>
      <w:r>
        <w:rPr>
          <w:color w:val="6E6158"/>
        </w:rPr>
        <w:t>laymen’s terms, in order for decisions to be made quickly and concisely.</w:t>
      </w:r>
    </w:p>
    <w:p>
      <w:pPr>
        <w:pStyle w:val="BodyText"/>
        <w:spacing w:line="292" w:lineRule="auto" w:before="201"/>
        <w:ind w:right="389"/>
      </w:pPr>
      <w:r>
        <w:rPr>
          <w:color w:val="6E6158"/>
        </w:rPr>
        <w:t>Outside of the office, Brett stays active in sports such as tennis, mountain biking and volleyball.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traveling,</w:t>
      </w:r>
      <w:r>
        <w:rPr>
          <w:color w:val="6E6158"/>
          <w:spacing w:val="27"/>
        </w:rPr>
        <w:t> </w:t>
      </w:r>
      <w:r>
        <w:rPr>
          <w:color w:val="6E6158"/>
        </w:rPr>
        <w:t>especially</w:t>
      </w:r>
      <w:r>
        <w:rPr>
          <w:color w:val="6E6158"/>
          <w:spacing w:val="27"/>
        </w:rPr>
        <w:t> </w:t>
      </w:r>
      <w:r>
        <w:rPr>
          <w:color w:val="6E6158"/>
        </w:rPr>
        <w:t>up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mountains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spending</w:t>
      </w:r>
      <w:r>
        <w:rPr>
          <w:color w:val="6E6158"/>
          <w:spacing w:val="27"/>
        </w:rPr>
        <w:t> </w:t>
      </w:r>
      <w:r>
        <w:rPr>
          <w:color w:val="6E6158"/>
        </w:rPr>
        <w:t>time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family.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LL.M.,</w:t>
      </w:r>
      <w:r>
        <w:rPr>
          <w:color w:val="6E6158"/>
          <w:spacing w:val="10"/>
        </w:rPr>
        <w:t> </w:t>
      </w:r>
      <w:r>
        <w:rPr>
          <w:color w:val="6E6158"/>
        </w:rPr>
        <w:t>Georgetown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Center,</w:t>
      </w:r>
      <w:r>
        <w:rPr>
          <w:color w:val="6E6158"/>
          <w:spacing w:val="11"/>
        </w:rPr>
        <w:t> </w:t>
      </w:r>
      <w:r>
        <w:rPr>
          <w:color w:val="6E6158"/>
        </w:rPr>
        <w:t>Taxation,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2009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17" w:lineRule="auto" w:before="73"/>
        <w:ind w:right="1847"/>
      </w:pPr>
      <w:r>
        <w:rPr>
          <w:color w:val="6E6158"/>
        </w:rPr>
        <w:t>J.D.,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American University Washington College of Law, 2002 Congress-Bundestag Youth Exchange Program, Munich, Germany, 1998 – </w:t>
      </w:r>
      <w:r>
        <w:rPr>
          <w:color w:val="6E6158"/>
        </w:rPr>
        <w:t>1999</w:t>
      </w:r>
      <w:r>
        <w:rPr>
          <w:color w:val="6E6158"/>
        </w:rPr>
        <w:t> B.A., University of Illinois, Urbana-Champaign, 1997</w:t>
      </w:r>
    </w:p>
    <w:p>
      <w:pPr>
        <w:pStyle w:val="Heading1"/>
        <w:spacing w:before="285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7" w:lineRule="auto"/>
      </w:pPr>
      <w:r>
        <w:rPr>
          <w:color w:val="6E6158"/>
        </w:rPr>
        <w:t>Closed dozens of multi-investor private placement fund offerings on behalf of numerous </w:t>
      </w:r>
      <w:r>
        <w:rPr>
          <w:color w:val="6E6158"/>
        </w:rPr>
        <w:t>sponsors</w:t>
      </w:r>
      <w:r>
        <w:rPr>
          <w:color w:val="6E6158"/>
          <w:spacing w:val="40"/>
        </w:rPr>
        <w:t> </w:t>
      </w:r>
      <w:r>
        <w:rPr>
          <w:color w:val="6E6158"/>
        </w:rPr>
        <w:t>investing in the development of multifamily, student housing, mixed-use commercial and other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28"/>
        </w:rPr>
        <w:t> </w:t>
      </w:r>
      <w:r>
        <w:rPr>
          <w:color w:val="6E6158"/>
        </w:rPr>
        <w:t>across</w:t>
      </w:r>
      <w:r>
        <w:rPr>
          <w:color w:val="6E6158"/>
          <w:spacing w:val="28"/>
        </w:rPr>
        <w:t> </w:t>
      </w:r>
      <w:r>
        <w:rPr>
          <w:color w:val="6E6158"/>
        </w:rPr>
        <w:t>ten</w:t>
      </w:r>
      <w:r>
        <w:rPr>
          <w:color w:val="6E6158"/>
          <w:spacing w:val="28"/>
        </w:rPr>
        <w:t> </w:t>
      </w:r>
      <w:r>
        <w:rPr>
          <w:color w:val="6E6158"/>
        </w:rPr>
        <w:t>states,</w:t>
      </w:r>
      <w:r>
        <w:rPr>
          <w:color w:val="6E6158"/>
          <w:spacing w:val="28"/>
        </w:rPr>
        <w:t> </w:t>
      </w:r>
      <w:r>
        <w:rPr>
          <w:color w:val="6E6158"/>
        </w:rPr>
        <w:t>generating</w:t>
      </w:r>
      <w:r>
        <w:rPr>
          <w:color w:val="6E6158"/>
          <w:spacing w:val="28"/>
        </w:rPr>
        <w:t> </w:t>
      </w:r>
      <w:r>
        <w:rPr>
          <w:color w:val="6E6158"/>
        </w:rPr>
        <w:t>over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billion</w:t>
      </w:r>
      <w:r>
        <w:rPr>
          <w:color w:val="6E6158"/>
          <w:spacing w:val="28"/>
        </w:rPr>
        <w:t> </w:t>
      </w:r>
      <w:r>
        <w:rPr>
          <w:color w:val="6E6158"/>
        </w:rPr>
        <w:t>dollars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capital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aggregate</w:t>
      </w:r>
    </w:p>
    <w:p>
      <w:pPr>
        <w:pStyle w:val="BodyText"/>
        <w:spacing w:line="292" w:lineRule="auto" w:before="118"/>
        <w:ind w:right="263"/>
      </w:pPr>
      <w:r>
        <w:rPr>
          <w:color w:val="6E6158"/>
        </w:rPr>
        <w:t>Structured over 100 qualified opportunity funds and qualified opportunity zone businesses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United</w:t>
      </w:r>
      <w:r>
        <w:rPr>
          <w:color w:val="6E6158"/>
          <w:spacing w:val="12"/>
        </w:rPr>
        <w:t> </w:t>
      </w:r>
      <w:r>
        <w:rPr>
          <w:color w:val="6E6158"/>
        </w:rPr>
        <w:t>States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assisted</w:t>
      </w:r>
      <w:r>
        <w:rPr>
          <w:color w:val="6E6158"/>
          <w:spacing w:val="12"/>
        </w:rPr>
        <w:t> </w:t>
      </w:r>
      <w:r>
        <w:rPr>
          <w:color w:val="6E6158"/>
        </w:rPr>
        <w:t>sponsors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corporate,</w:t>
      </w:r>
      <w:r>
        <w:rPr>
          <w:color w:val="6E6158"/>
          <w:spacing w:val="12"/>
        </w:rPr>
        <w:t> </w:t>
      </w:r>
      <w:r>
        <w:rPr>
          <w:color w:val="6E6158"/>
        </w:rPr>
        <w:t>tax,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line="292" w:lineRule="auto" w:before="132"/>
        <w:ind w:right="263"/>
      </w:pPr>
      <w:r>
        <w:rPr>
          <w:color w:val="6E6158"/>
        </w:rPr>
        <w:t>Represented developers in the acquisition, financing, development, and operation of over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dozen assisted living facilities in Arizona, Colorado and Minnesota</w:t>
      </w:r>
    </w:p>
    <w:p>
      <w:pPr>
        <w:pStyle w:val="BodyText"/>
        <w:spacing w:line="297" w:lineRule="auto" w:before="123"/>
        <w:ind w:right="389"/>
      </w:pPr>
      <w:r>
        <w:rPr>
          <w:color w:val="6E6158"/>
        </w:rPr>
        <w:t>Closed dozens of transactions nationwide involving the acquisition and development of</w:t>
      </w:r>
      <w:r>
        <w:rPr>
          <w:color w:val="6E6158"/>
          <w:spacing w:val="40"/>
        </w:rPr>
        <w:t> </w:t>
      </w:r>
      <w:r>
        <w:rPr>
          <w:color w:val="6E6158"/>
        </w:rPr>
        <w:t>properties through the utilization of tax-exempt bonds, tax credits, property tax exemptions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 advantageous financing vehicles</w:t>
      </w:r>
    </w:p>
    <w:p>
      <w:pPr>
        <w:pStyle w:val="BodyText"/>
        <w:spacing w:line="292" w:lineRule="auto" w:before="118"/>
        <w:ind w:right="192"/>
        <w:jc w:val="both"/>
      </w:pPr>
      <w:r>
        <w:rPr>
          <w:color w:val="6E6158"/>
        </w:rPr>
        <w:t>Represented affiliates of a private real estate investment trust in structuring and negotiating joint ventures in connection with the acquisition, development, and financing of over 25 </w:t>
      </w:r>
      <w:r>
        <w:rPr>
          <w:color w:val="6E6158"/>
        </w:rPr>
        <w:t>commercial real estate ventures nationwide</w:t>
      </w:r>
    </w:p>
    <w:p>
      <w:pPr>
        <w:pStyle w:val="BodyText"/>
        <w:spacing w:before="132"/>
        <w:jc w:val="both"/>
      </w:pPr>
      <w:r>
        <w:rPr>
          <w:color w:val="6E6158"/>
        </w:rPr>
        <w:t>Assisted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firms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creation,</w:t>
      </w:r>
      <w:r>
        <w:rPr>
          <w:color w:val="6E6158"/>
          <w:spacing w:val="14"/>
        </w:rPr>
        <w:t> </w:t>
      </w:r>
      <w:r>
        <w:rPr>
          <w:color w:val="6E6158"/>
        </w:rPr>
        <w:t>structuring,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negotiation,</w:t>
      </w:r>
    </w:p>
    <w:p>
      <w:pPr>
        <w:pStyle w:val="BodyText"/>
        <w:spacing w:line="292" w:lineRule="auto" w:before="52"/>
        <w:ind w:right="395"/>
      </w:pPr>
      <w:r>
        <w:rPr>
          <w:color w:val="6E6158"/>
        </w:rPr>
        <w:t>operation, and management of multi-investor and single investor private placement funds,</w:t>
      </w:r>
      <w:r>
        <w:rPr>
          <w:color w:val="6E6158"/>
          <w:spacing w:val="40"/>
        </w:rPr>
        <w:t> </w:t>
      </w:r>
      <w:r>
        <w:rPr>
          <w:color w:val="6E6158"/>
        </w:rPr>
        <w:t>raising</w:t>
      </w:r>
      <w:r>
        <w:rPr>
          <w:color w:val="6E6158"/>
          <w:spacing w:val="12"/>
        </w:rPr>
        <w:t> </w:t>
      </w:r>
      <w:r>
        <w:rPr>
          <w:color w:val="6E6158"/>
        </w:rPr>
        <w:t>over</w:t>
      </w:r>
      <w:r>
        <w:rPr>
          <w:color w:val="6E6158"/>
          <w:spacing w:val="12"/>
        </w:rPr>
        <w:t> </w:t>
      </w:r>
      <w:r>
        <w:rPr>
          <w:color w:val="6E6158"/>
        </w:rPr>
        <w:t>$250</w:t>
      </w:r>
      <w:r>
        <w:rPr>
          <w:color w:val="6E6158"/>
          <w:spacing w:val="12"/>
        </w:rPr>
        <w:t> </w:t>
      </w:r>
      <w:r>
        <w:rPr>
          <w:color w:val="6E6158"/>
        </w:rPr>
        <w:t>million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investment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various</w:t>
      </w:r>
      <w:r>
        <w:rPr>
          <w:color w:val="6E6158"/>
          <w:spacing w:val="12"/>
        </w:rPr>
        <w:t> </w:t>
      </w:r>
      <w:r>
        <w:rPr>
          <w:color w:val="6E6158"/>
        </w:rPr>
        <w:t>assets</w:t>
      </w:r>
      <w:r>
        <w:rPr>
          <w:color w:val="6E6158"/>
          <w:spacing w:val="12"/>
        </w:rPr>
        <w:t> </w:t>
      </w:r>
      <w:r>
        <w:rPr>
          <w:color w:val="6E6158"/>
        </w:rPr>
        <w:t>throughout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western</w:t>
      </w:r>
      <w:r>
        <w:rPr>
          <w:color w:val="6E6158"/>
          <w:spacing w:val="12"/>
        </w:rPr>
        <w:t> </w: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States</w:t>
      </w:r>
    </w:p>
    <w:p>
      <w:pPr>
        <w:pStyle w:val="BodyText"/>
        <w:spacing w:line="292" w:lineRule="auto" w:before="131"/>
        <w:ind w:right="395"/>
      </w:pPr>
      <w:r>
        <w:rPr>
          <w:color w:val="6E6158"/>
        </w:rPr>
        <w:t>Consulted with a New York investment firm on behalf of a major Puerto Rican bank with respect</w:t>
      </w:r>
      <w:r>
        <w:rPr>
          <w:color w:val="6E6158"/>
          <w:spacing w:val="40"/>
        </w:rPr>
        <w:t> </w:t>
      </w:r>
      <w:r>
        <w:rPr>
          <w:color w:val="6E6158"/>
        </w:rPr>
        <w:t>to the management and restructuring of an asset portfolio worth $2 billion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ind w:left="0"/>
        <w:rPr>
          <w:b/>
        </w:rPr>
      </w:pPr>
    </w:p>
    <w:p>
      <w:pPr>
        <w:spacing w:line="278" w:lineRule="auto" w:before="0"/>
        <w:ind w:left="99" w:right="395" w:firstLine="0"/>
        <w:jc w:val="left"/>
        <w:rPr>
          <w:sz w:val="19"/>
        </w:rPr>
      </w:pPr>
      <w:r>
        <w:rPr>
          <w:color w:val="6E6158"/>
          <w:sz w:val="19"/>
        </w:rPr>
        <w:t>Recognized among the “Top 25 OZ Influencers” in the category of Attorney, by </w:t>
      </w:r>
      <w:r>
        <w:rPr>
          <w:i/>
          <w:color w:val="6E6158"/>
          <w:sz w:val="20"/>
        </w:rPr>
        <w:t>Opportunity</w:t>
      </w:r>
      <w:r>
        <w:rPr>
          <w:i/>
          <w:color w:val="6E6158"/>
          <w:sz w:val="20"/>
        </w:rPr>
        <w:t> Zone Magazine, </w:t>
      </w:r>
      <w:r>
        <w:rPr>
          <w:color w:val="6E6158"/>
          <w:sz w:val="19"/>
        </w:rPr>
        <w:t>February 2022</w:t>
      </w:r>
    </w:p>
    <w:p>
      <w:pPr>
        <w:spacing w:line="278" w:lineRule="auto" w:before="131"/>
        <w:ind w:left="99" w:right="395" w:firstLine="0"/>
        <w:jc w:val="left"/>
        <w:rPr>
          <w:sz w:val="19"/>
        </w:rPr>
      </w:pPr>
      <w:r>
        <w:rPr>
          <w:color w:val="6E6158"/>
          <w:sz w:val="19"/>
        </w:rPr>
        <w:t>Recognized among the “Top 25 OZ Influencers” in the category of Attorney, by </w:t>
      </w:r>
      <w:r>
        <w:rPr>
          <w:i/>
          <w:color w:val="6E6158"/>
          <w:sz w:val="20"/>
        </w:rPr>
        <w:t>Opportunity</w:t>
      </w:r>
      <w:r>
        <w:rPr>
          <w:i/>
          <w:color w:val="6E6158"/>
          <w:sz w:val="20"/>
        </w:rPr>
        <w:t> Zone Magazine, </w:t>
      </w:r>
      <w:r>
        <w:rPr>
          <w:color w:val="6E6158"/>
          <w:sz w:val="19"/>
        </w:rPr>
        <w:t>February 2021</w:t>
      </w:r>
    </w:p>
    <w:p>
      <w:pPr>
        <w:pStyle w:val="BodyText"/>
        <w:spacing w:before="133"/>
      </w:pPr>
      <w:r>
        <w:rPr>
          <w:color w:val="6E6158"/>
        </w:rPr>
        <w:t>Youngest</w:t>
      </w:r>
      <w:r>
        <w:rPr>
          <w:color w:val="6E6158"/>
          <w:spacing w:val="8"/>
        </w:rPr>
        <w:t> </w:t>
      </w:r>
      <w:r>
        <w:rPr>
          <w:color w:val="6E6158"/>
        </w:rPr>
        <w:t>Finisher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50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Chicago</w:t>
      </w:r>
      <w:r>
        <w:rPr>
          <w:color w:val="6E6158"/>
          <w:spacing w:val="8"/>
        </w:rPr>
        <w:t> </w:t>
      </w:r>
      <w:r>
        <w:rPr>
          <w:color w:val="6E6158"/>
        </w:rPr>
        <w:t>Marathon,</w:t>
      </w:r>
      <w:r>
        <w:rPr>
          <w:color w:val="6E6158"/>
          <w:spacing w:val="9"/>
        </w:rPr>
        <w:t> </w:t>
      </w:r>
      <w:r>
        <w:rPr>
          <w:color w:val="6E6158"/>
        </w:rPr>
        <w:t>October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1997</w:t>
      </w:r>
    </w:p>
    <w:p>
      <w:pPr>
        <w:pStyle w:val="BodyText"/>
        <w:spacing w:before="174"/>
      </w:pPr>
      <w:r>
        <w:rPr>
          <w:color w:val="6E6158"/>
        </w:rPr>
        <w:t>Academic</w:t>
      </w:r>
      <w:r>
        <w:rPr>
          <w:color w:val="6E6158"/>
          <w:spacing w:val="10"/>
        </w:rPr>
        <w:t> </w:t>
      </w:r>
      <w:r>
        <w:rPr>
          <w:color w:val="6E6158"/>
        </w:rPr>
        <w:t>All-Big</w:t>
      </w:r>
      <w:r>
        <w:rPr>
          <w:color w:val="6E6158"/>
          <w:spacing w:val="11"/>
        </w:rPr>
        <w:t> </w:t>
      </w:r>
      <w:r>
        <w:rPr>
          <w:color w:val="6E6158"/>
        </w:rPr>
        <w:t>Ten,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Illinois</w:t>
      </w:r>
      <w:r>
        <w:rPr>
          <w:color w:val="6E6158"/>
          <w:spacing w:val="11"/>
        </w:rPr>
        <w:t> </w:t>
      </w:r>
      <w:r>
        <w:rPr>
          <w:color w:val="6E6158"/>
        </w:rPr>
        <w:t>Track/Cross</w:t>
      </w:r>
      <w:r>
        <w:rPr>
          <w:color w:val="6E6158"/>
          <w:spacing w:val="11"/>
        </w:rPr>
        <w:t> </w:t>
      </w:r>
      <w:r>
        <w:rPr>
          <w:color w:val="6E6158"/>
        </w:rPr>
        <w:t>Country,</w:t>
      </w:r>
      <w:r>
        <w:rPr>
          <w:color w:val="6E6158"/>
          <w:spacing w:val="11"/>
        </w:rPr>
        <w:t> </w:t>
      </w:r>
      <w:r>
        <w:rPr>
          <w:color w:val="6E6158"/>
        </w:rPr>
        <w:t>1994</w:t>
      </w:r>
      <w:r>
        <w:rPr>
          <w:color w:val="6E6158"/>
          <w:spacing w:val="11"/>
        </w:rPr>
        <w:t> </w:t>
      </w:r>
      <w:r>
        <w:rPr>
          <w:color w:val="6E6158"/>
        </w:rPr>
        <w:t>–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1996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Panelist,</w:t>
      </w:r>
      <w:r>
        <w:rPr>
          <w:color w:val="6E6158"/>
          <w:spacing w:val="11"/>
        </w:rPr>
        <w:t> </w:t>
      </w:r>
      <w:r>
        <w:rPr>
          <w:color w:val="6E6158"/>
        </w:rPr>
        <w:t>AAED</w:t>
      </w:r>
      <w:r>
        <w:rPr>
          <w:color w:val="6E6158"/>
          <w:spacing w:val="12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</w:rPr>
        <w:t>Conference</w:t>
      </w:r>
      <w:r>
        <w:rPr>
          <w:color w:val="6E6158"/>
          <w:spacing w:val="12"/>
        </w:rPr>
        <w:t> </w:t>
      </w:r>
      <w:r>
        <w:rPr>
          <w:color w:val="6E6158"/>
        </w:rPr>
        <w:t>OZ</w:t>
      </w:r>
      <w:r>
        <w:rPr>
          <w:color w:val="6E6158"/>
          <w:spacing w:val="12"/>
        </w:rPr>
        <w:t> </w:t>
      </w:r>
      <w:r>
        <w:rPr>
          <w:color w:val="6E6158"/>
        </w:rPr>
        <w:t>2.0</w:t>
      </w:r>
      <w:r>
        <w:rPr>
          <w:color w:val="6E6158"/>
          <w:spacing w:val="11"/>
        </w:rPr>
        <w:t> </w:t>
      </w:r>
      <w:r>
        <w:rPr>
          <w:color w:val="6E6158"/>
        </w:rPr>
        <w:t>Session,</w:t>
      </w:r>
      <w:r>
        <w:rPr>
          <w:color w:val="6E6158"/>
          <w:spacing w:val="12"/>
        </w:rPr>
        <w:t> </w:t>
      </w:r>
      <w:r>
        <w:rPr>
          <w:color w:val="6E6158"/>
        </w:rPr>
        <w:t>April</w:t>
      </w:r>
      <w:r>
        <w:rPr>
          <w:color w:val="6E6158"/>
          <w:spacing w:val="12"/>
        </w:rPr>
        <w:t> </w:t>
      </w:r>
      <w:r>
        <w:rPr>
          <w:color w:val="6E6158"/>
        </w:rPr>
        <w:t>16,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before="174"/>
      </w:pPr>
      <w:r>
        <w:rPr>
          <w:color w:val="6E6158"/>
        </w:rPr>
        <w:t>Interview,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Opportunity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Zones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KTAR</w:t>
      </w:r>
      <w:r>
        <w:rPr>
          <w:color w:val="6E6158"/>
          <w:spacing w:val="14"/>
        </w:rPr>
        <w:t> </w:t>
      </w:r>
      <w:r>
        <w:rPr>
          <w:color w:val="6E6158"/>
        </w:rPr>
        <w:t>News</w:t>
      </w:r>
      <w:r>
        <w:rPr>
          <w:color w:val="6E6158"/>
          <w:spacing w:val="13"/>
        </w:rPr>
        <w:t> </w:t>
      </w:r>
      <w:r>
        <w:rPr>
          <w:color w:val="6E6158"/>
        </w:rPr>
        <w:t>Radio,</w:t>
      </w:r>
      <w:r>
        <w:rPr>
          <w:color w:val="6E6158"/>
          <w:spacing w:val="14"/>
        </w:rPr>
        <w:t> </w:t>
      </w:r>
      <w:r>
        <w:rPr>
          <w:color w:val="6E6158"/>
        </w:rPr>
        <w:t>December</w:t>
      </w:r>
      <w:r>
        <w:rPr>
          <w:color w:val="6E6158"/>
          <w:spacing w:val="13"/>
        </w:rPr>
        <w:t> </w:t>
      </w:r>
      <w:r>
        <w:rPr>
          <w:color w:val="6E6158"/>
        </w:rPr>
        <w:t>27-28,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>
          <w:color w:val="6E6158"/>
        </w:rPr>
        <w:t>Panelist, “Tax Strategy in a Shifting Landscape:</w:t>
      </w:r>
      <w:r>
        <w:rPr>
          <w:color w:val="6E6158"/>
          <w:spacing w:val="80"/>
        </w:rPr>
        <w:t> </w:t>
      </w:r>
      <w:r>
        <w:rPr>
          <w:color w:val="6E6158"/>
        </w:rPr>
        <w:t>Insights for the Family Office Real Estate Investor”, 2025 FORE Institute Conference, September 16, 2025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2" w:lineRule="auto" w:before="83"/>
        <w:ind w:right="389"/>
      </w:pPr>
      <w:r>
        <w:rPr>
          <w:color w:val="6E6158"/>
        </w:rPr>
        <w:t>Panelist,</w:t>
      </w:r>
      <w:r>
        <w:rPr>
          <w:color w:val="6E6158"/>
          <w:spacing w:val="33"/>
        </w:rPr>
        <w:t> </w:t>
      </w:r>
      <w:r>
        <w:rPr>
          <w:color w:val="6E6158"/>
        </w:rPr>
        <w:t>“Opportunity</w:t>
      </w:r>
      <w:r>
        <w:rPr>
          <w:color w:val="6E6158"/>
          <w:spacing w:val="33"/>
        </w:rPr>
        <w:t> </w:t>
      </w:r>
      <w:r>
        <w:rPr>
          <w:color w:val="6E6158"/>
        </w:rPr>
        <w:t>Zones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LIHTC”,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  <w:r>
        <w:rPr>
          <w:color w:val="6E6158"/>
          <w:spacing w:val="33"/>
        </w:rPr>
        <w:t> </w:t>
      </w:r>
      <w:r>
        <w:rPr>
          <w:color w:val="6E6158"/>
        </w:rPr>
        <w:t>Arizona</w:t>
      </w:r>
      <w:r>
        <w:rPr>
          <w:color w:val="6E6158"/>
          <w:spacing w:val="33"/>
        </w:rPr>
        <w:t> </w:t>
      </w:r>
      <w:r>
        <w:rPr>
          <w:color w:val="6E6158"/>
        </w:rPr>
        <w:t>Housing</w:t>
      </w:r>
      <w:r>
        <w:rPr>
          <w:color w:val="6E6158"/>
          <w:spacing w:val="33"/>
        </w:rPr>
        <w:t> </w:t>
      </w:r>
      <w:r>
        <w:rPr>
          <w:color w:val="6E6158"/>
        </w:rPr>
        <w:t>Forum,</w:t>
      </w:r>
      <w:r>
        <w:rPr>
          <w:color w:val="6E6158"/>
          <w:spacing w:val="33"/>
        </w:rPr>
        <w:t> </w:t>
      </w:r>
      <w:r>
        <w:rPr>
          <w:color w:val="6E6158"/>
        </w:rPr>
        <w:t>August</w:t>
      </w:r>
      <w:r>
        <w:rPr>
          <w:color w:val="6E6158"/>
          <w:spacing w:val="33"/>
        </w:rPr>
        <w:t> </w:t>
      </w:r>
      <w:r>
        <w:rPr>
          <w:color w:val="6E6158"/>
        </w:rPr>
        <w:t>14,</w:t>
      </w:r>
      <w:r>
        <w:rPr>
          <w:color w:val="6E6158"/>
          <w:spacing w:val="33"/>
        </w:rPr>
        <w:t> </w:t>
      </w:r>
      <w:r>
        <w:rPr>
          <w:color w:val="6E6158"/>
        </w:rPr>
        <w:t>2025 Presenter, “When Real Estate Syndications Go Wrong,” Fund Playbook Podcast, March 20, 2025 Presenter, “OZ Pitch Day,” Ask the OZ Experts Panel, March 6, 2025</w:t>
      </w:r>
    </w:p>
    <w:p>
      <w:pPr>
        <w:pStyle w:val="BodyText"/>
        <w:spacing w:line="422" w:lineRule="auto"/>
        <w:ind w:right="1934"/>
      </w:pPr>
      <w:r>
        <w:rPr>
          <w:color w:val="6E6158"/>
        </w:rPr>
        <w:t>Presenter, “OZ Pitch Day,” Ask the OZ Experts Panel, November 14, 2024 Presenter, “</w:t>
      </w:r>
      <w:hyperlink r:id="rId12">
        <w:r>
          <w:rPr>
            <w:color w:val="F5821F"/>
          </w:rPr>
          <w:t>OZ Pitch Day</w:t>
        </w:r>
      </w:hyperlink>
      <w:r>
        <w:rPr>
          <w:color w:val="6E6158"/>
        </w:rPr>
        <w:t>,” The Opportunity Zones Database, June 13, </w:t>
      </w:r>
      <w:r>
        <w:rPr>
          <w:color w:val="6E6158"/>
        </w:rPr>
        <w:t>2024 Presenter, “Financing Opportunity Zone Deals,” OZ Insiders, June 10, 2024 Author, “A Real Estate Perspective,” Greater Phoenix inBusiness, June 2024</w:t>
      </w:r>
    </w:p>
    <w:p>
      <w:pPr>
        <w:pStyle w:val="BodyText"/>
        <w:spacing w:line="292" w:lineRule="auto"/>
        <w:ind w:right="263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Opportunity Zone Investment Generates Positive Impact in Arizona with </w:t>
        </w:r>
        <w:r>
          <w:rPr>
            <w:color w:val="F5821F"/>
          </w:rPr>
          <w:t>Ongoing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Prospect for Extension of OZ Incentive</w:t>
        </w:r>
      </w:hyperlink>
      <w:r>
        <w:rPr>
          <w:color w:val="6E6158"/>
        </w:rPr>
        <w:t>,” Fennemore Blog, May 29, 2024</w:t>
      </w:r>
    </w:p>
    <w:p>
      <w:pPr>
        <w:pStyle w:val="BodyText"/>
        <w:spacing w:line="302" w:lineRule="auto" w:before="118"/>
        <w:ind w:right="271"/>
      </w:pPr>
      <w:r>
        <w:rPr>
          <w:color w:val="6E6158"/>
        </w:rPr>
        <w:t>Presenter, “OZ Compliance Questions Answered,” OZworks Group Presenter, (Monthly from </w:t>
      </w:r>
      <w:r>
        <w:rPr>
          <w:color w:val="6E6158"/>
        </w:rPr>
        <w:t>April 2022-October 2023)</w:t>
      </w:r>
    </w:p>
    <w:p>
      <w:pPr>
        <w:spacing w:line="278" w:lineRule="auto" w:before="10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4">
        <w:r>
          <w:rPr>
            <w:color w:val="F5821F"/>
            <w:sz w:val="19"/>
          </w:rPr>
          <w:t>Year-End Countdown Begins for Opportunity Zone Deadline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(December 22, 2021)</w:t>
      </w:r>
    </w:p>
    <w:p>
      <w:pPr>
        <w:spacing w:line="285" w:lineRule="auto" w:before="12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5">
        <w:r>
          <w:rPr>
            <w:color w:val="F5821F"/>
            <w:sz w:val="19"/>
          </w:rPr>
          <w:t>How to make ESG investments more effective in Opportunity Zones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(October 26, 2021)</w:t>
      </w:r>
    </w:p>
    <w:p>
      <w:pPr>
        <w:spacing w:line="278" w:lineRule="auto" w:before="117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6">
        <w:r>
          <w:rPr>
            <w:color w:val="F5821F"/>
            <w:sz w:val="19"/>
          </w:rPr>
          <w:t>New bill introduced to extend Opportunity Zones beyond 2026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(August 4, 2021)</w:t>
      </w:r>
    </w:p>
    <w:p>
      <w:pPr>
        <w:spacing w:line="283" w:lineRule="auto" w:before="141"/>
        <w:ind w:left="99" w:right="263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7">
        <w:r>
          <w:rPr>
            <w:color w:val="F5821F"/>
            <w:sz w:val="19"/>
          </w:rPr>
          <w:t>Potential Regulatory Relief for Sponsors Raising Equity for Qualified </w:t>
        </w:r>
        <w:r>
          <w:rPr>
            <w:color w:val="F5821F"/>
            <w:sz w:val="19"/>
          </w:rPr>
          <w:t>Opportunity</w:t>
        </w:r>
      </w:hyperlink>
      <w:r>
        <w:rPr>
          <w:color w:val="F5821F"/>
          <w:sz w:val="19"/>
        </w:rPr>
        <w:t> </w:t>
      </w:r>
      <w:hyperlink r:id="rId17">
        <w:r>
          <w:rPr>
            <w:color w:val="F5821F"/>
            <w:sz w:val="19"/>
          </w:rPr>
          <w:t>Funds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Novogradac Journal of Tax Credits, Volume XII, Issue IV</w:t>
      </w:r>
      <w:r>
        <w:rPr>
          <w:color w:val="6E6158"/>
          <w:sz w:val="19"/>
        </w:rPr>
        <w:t>(April 2021)</w:t>
      </w:r>
    </w:p>
    <w:p>
      <w:pPr>
        <w:spacing w:line="278" w:lineRule="auto" w:before="117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8">
        <w:r>
          <w:rPr>
            <w:color w:val="F5821F"/>
            <w:sz w:val="19"/>
          </w:rPr>
          <w:t>Capital Raising Developments for Qualified Opportunity Funds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Opportunity </w:t>
      </w:r>
      <w:r>
        <w:rPr>
          <w:i/>
          <w:color w:val="6E6158"/>
          <w:sz w:val="20"/>
        </w:rPr>
        <w:t>Zone</w:t>
      </w:r>
      <w:r>
        <w:rPr>
          <w:i/>
          <w:color w:val="6E6158"/>
          <w:sz w:val="20"/>
        </w:rPr>
        <w:t> Magazine, Volume 2, Issue 1 </w:t>
      </w:r>
      <w:r>
        <w:rPr>
          <w:color w:val="6E6158"/>
          <w:sz w:val="19"/>
        </w:rPr>
        <w:t>(February 25, 2021)</w:t>
      </w:r>
    </w:p>
    <w:p>
      <w:pPr>
        <w:pStyle w:val="BodyText"/>
        <w:spacing w:before="141"/>
      </w:pPr>
      <w:r>
        <w:rPr>
          <w:color w:val="6E6158"/>
        </w:rPr>
        <w:t>Featured,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9"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Athletes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Jennings,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Strouss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&amp;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Salmon: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Playing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Game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2"/>
          </w:rPr>
          <w:t>Law</w:t>
        </w:r>
      </w:hyperlink>
      <w:r>
        <w:rPr>
          <w:color w:val="6E6158"/>
          <w:spacing w:val="-2"/>
        </w:rPr>
        <w:t>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Attorney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At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(June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26,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2"/>
          <w:sz w:val="19"/>
        </w:rPr>
        <w:t>2020)</w:t>
      </w:r>
    </w:p>
    <w:p>
      <w:pPr>
        <w:pStyle w:val="BodyText"/>
        <w:spacing w:line="283" w:lineRule="auto" w:before="172"/>
      </w:pPr>
      <w:r>
        <w:rPr>
          <w:color w:val="6E6158"/>
        </w:rPr>
        <w:t>Co-Author,“</w:t>
      </w:r>
      <w:hyperlink r:id="rId20">
        <w:r>
          <w:rPr>
            <w:color w:val="F5821F"/>
          </w:rPr>
          <w:t>Qualified Opportunity Zones: Newly Released Guidance by Internal Revenue </w:t>
        </w:r>
        <w:r>
          <w:rPr>
            <w:color w:val="F5821F"/>
          </w:rPr>
          <w:t>Service</w:t>
        </w:r>
      </w:hyperlink>
      <w:r>
        <w:rPr>
          <w:color w:val="F5821F"/>
          <w:spacing w:val="40"/>
        </w:rPr>
        <w:t> </w:t>
      </w:r>
      <w:hyperlink r:id="rId20">
        <w:r>
          <w:rPr>
            <w:color w:val="F5821F"/>
          </w:rPr>
          <w:t>(IRS)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Jennings Strouss Blog, </w:t>
      </w:r>
      <w:r>
        <w:rPr>
          <w:color w:val="6E6158"/>
        </w:rPr>
        <w:t>April 2019</w:t>
      </w:r>
    </w:p>
    <w:p>
      <w:pPr>
        <w:spacing w:line="288" w:lineRule="auto" w:before="125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“</w:t>
      </w:r>
      <w:hyperlink r:id="rId21">
        <w:r>
          <w:rPr>
            <w:color w:val="F5821F"/>
            <w:sz w:val="19"/>
          </w:rPr>
          <w:t>Opportunity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Knocks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Commercial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Investment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Real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(January/February </w:t>
      </w:r>
      <w:r>
        <w:rPr>
          <w:color w:val="6E6158"/>
          <w:spacing w:val="-2"/>
          <w:sz w:val="19"/>
        </w:rPr>
        <w:t>2019)</w:t>
      </w:r>
    </w:p>
    <w:p>
      <w:pPr>
        <w:pStyle w:val="BodyText"/>
        <w:spacing w:line="288" w:lineRule="auto" w:before="118"/>
        <w:ind w:right="26"/>
      </w:pPr>
      <w:r>
        <w:rPr>
          <w:color w:val="6E6158"/>
        </w:rPr>
        <w:t>Author, “</w:t>
      </w:r>
      <w:hyperlink r:id="rId22">
        <w:r>
          <w:rPr>
            <w:color w:val="F5821F"/>
          </w:rPr>
          <w:t>Here Are the Tax Benefits Associated with Opportunity Zones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(September </w:t>
      </w:r>
      <w:r>
        <w:rPr>
          <w:color w:val="6E6158"/>
          <w:spacing w:val="-2"/>
        </w:rPr>
        <w:t>2018)</w:t>
      </w:r>
    </w:p>
    <w:p>
      <w:pPr>
        <w:spacing w:line="278" w:lineRule="auto" w:before="126"/>
        <w:ind w:left="99" w:right="389" w:firstLine="0"/>
        <w:jc w:val="left"/>
        <w:rPr>
          <w:i/>
          <w:sz w:val="20"/>
        </w:rPr>
      </w:pPr>
      <w:r>
        <w:rPr>
          <w:color w:val="6E6158"/>
          <w:sz w:val="19"/>
        </w:rPr>
        <w:t>Author, “Combining FHA and other HUD Programs with Tax Credits,” </w:t>
      </w:r>
      <w:r>
        <w:rPr>
          <w:i/>
          <w:color w:val="6E6158"/>
          <w:sz w:val="20"/>
        </w:rPr>
        <w:t>ABA Journal of Affordable</w:t>
      </w:r>
      <w:r>
        <w:rPr>
          <w:i/>
          <w:color w:val="6E6158"/>
          <w:sz w:val="20"/>
        </w:rPr>
        <w:t> Housing and Community Development Law, 2008</w:t>
      </w:r>
    </w:p>
    <w:p>
      <w:pPr>
        <w:spacing w:line="405" w:lineRule="auto" w:before="123"/>
        <w:ind w:left="99" w:right="2432" w:firstLine="0"/>
        <w:jc w:val="left"/>
        <w:rPr>
          <w:sz w:val="19"/>
        </w:rPr>
      </w:pPr>
      <w:r>
        <w:rPr>
          <w:color w:val="6E6158"/>
          <w:sz w:val="19"/>
        </w:rPr>
        <w:t>Contributing Author, </w:t>
      </w:r>
      <w:r>
        <w:rPr>
          <w:i/>
          <w:color w:val="6E6158"/>
          <w:sz w:val="20"/>
        </w:rPr>
        <w:t>Venture Capital Law Handbook, </w:t>
      </w:r>
      <w:r>
        <w:rPr>
          <w:color w:val="6E6158"/>
          <w:sz w:val="19"/>
        </w:rPr>
        <w:t>Munich (1999) “The Recessions Impact on the OZ Marketplace,” </w:t>
      </w:r>
      <w:r>
        <w:rPr>
          <w:i/>
          <w:color w:val="6E6158"/>
          <w:sz w:val="20"/>
        </w:rPr>
        <w:t>com </w:t>
      </w:r>
      <w:r>
        <w:rPr>
          <w:color w:val="6E6158"/>
          <w:sz w:val="19"/>
        </w:rPr>
        <w:t>(November </w:t>
      </w:r>
      <w:r>
        <w:rPr>
          <w:color w:val="6E6158"/>
          <w:sz w:val="19"/>
        </w:rPr>
        <w:t>2022)</w:t>
      </w:r>
    </w:p>
    <w:p>
      <w:pPr>
        <w:pStyle w:val="BodyText"/>
        <w:spacing w:line="292" w:lineRule="auto" w:before="3"/>
        <w:ind w:right="395"/>
      </w:pPr>
      <w:r>
        <w:rPr>
          <w:color w:val="6E6158"/>
        </w:rPr>
        <w:t>Panelist, “OZ Legislation Update: Status of the Opportunity Zone Incentive and Ongoing</w:t>
      </w:r>
      <w:r>
        <w:rPr>
          <w:color w:val="6E6158"/>
          <w:spacing w:val="40"/>
        </w:rPr>
        <w:t> </w:t>
      </w:r>
      <w:r>
        <w:rPr>
          <w:color w:val="6E6158"/>
        </w:rPr>
        <w:t>Congressional Bills Impacting Potential Extensions, Social Impact Reporting Requirements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Tax,” 2022 Opportunity Zone Expo – Phoenix (October 3, 2022)</w:t>
      </w:r>
    </w:p>
    <w:p>
      <w:pPr>
        <w:pStyle w:val="BodyText"/>
        <w:spacing w:line="292" w:lineRule="auto" w:before="132"/>
        <w:ind w:right="395"/>
      </w:pPr>
      <w:r>
        <w:rPr>
          <w:color w:val="6E6158"/>
        </w:rPr>
        <w:t>Co-Moderator, “The Compliance Hour (Replays)” OZworks Group (February 2022 – </w:t>
      </w:r>
      <w:r>
        <w:rPr>
          <w:color w:val="6E6158"/>
        </w:rPr>
        <w:t>February </w:t>
      </w:r>
      <w:r>
        <w:rPr>
          <w:color w:val="6E6158"/>
          <w:spacing w:val="-2"/>
        </w:rPr>
        <w:t>2023)</w:t>
      </w:r>
    </w:p>
    <w:p>
      <w:pPr>
        <w:pStyle w:val="BodyText"/>
        <w:spacing w:line="292" w:lineRule="auto" w:before="123"/>
        <w:ind w:right="26"/>
      </w:pPr>
      <w:r>
        <w:rPr>
          <w:color w:val="6E6158"/>
        </w:rPr>
        <w:t>Panel Moderator, “End of Year Considerations for OZ Investors/Meeting OZ </w:t>
      </w:r>
      <w:r>
        <w:rPr>
          <w:color w:val="6E6158"/>
        </w:rPr>
        <w:t>Deadlines/Performing Due Diligence,” America’s Top Project, Opportunity Zone Expo (December 2, 2021)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Panelist, “What makes a good project? The ROI talk; Equity, Securities and Accessing Senior &amp;</w:t>
      </w:r>
      <w:r>
        <w:rPr>
          <w:color w:val="6E6158"/>
          <w:spacing w:val="40"/>
        </w:rPr>
        <w:t> </w:t>
      </w:r>
      <w:r>
        <w:rPr>
          <w:color w:val="6E6158"/>
        </w:rPr>
        <w:t>Mezzanine Debt,” Opportunity Zone Expo – Denver (July 15, 2021)</w:t>
      </w:r>
    </w:p>
    <w:p>
      <w:pPr>
        <w:pStyle w:val="BodyText"/>
        <w:spacing w:line="292" w:lineRule="auto" w:before="132"/>
        <w:ind w:right="76"/>
      </w:pPr>
      <w:r>
        <w:rPr>
          <w:color w:val="6E6158"/>
        </w:rPr>
        <w:t>Moderator, “Opportunity Zone Update: How you can still get involved in investing in Opportunity</w:t>
      </w:r>
      <w:r>
        <w:rPr>
          <w:color w:val="6E6158"/>
          <w:spacing w:val="40"/>
        </w:rPr>
        <w:t> </w:t>
      </w:r>
      <w:r>
        <w:rPr>
          <w:color w:val="6E6158"/>
        </w:rPr>
        <w:t>Zone Funds,” BISNOW (January 21, 2021)</w:t>
      </w:r>
    </w:p>
    <w:p>
      <w:pPr>
        <w:pStyle w:val="BodyText"/>
        <w:spacing w:line="292" w:lineRule="auto" w:before="123"/>
        <w:ind w:right="395"/>
      </w:pPr>
      <w:r>
        <w:rPr>
          <w:color w:val="6E6158"/>
        </w:rPr>
        <w:t>Presenter,“Latest Trends Affecting Investment and Development in Opportunity </w:t>
      </w:r>
      <w:r>
        <w:rPr>
          <w:color w:val="6E6158"/>
        </w:rPr>
        <w:t>Zones,” Retirement Experts Network (December 15, 2020)</w:t>
      </w:r>
    </w:p>
    <w:p>
      <w:pPr>
        <w:pStyle w:val="BodyText"/>
        <w:spacing w:line="292" w:lineRule="auto" w:before="131"/>
        <w:ind w:right="263"/>
      </w:pPr>
      <w:r>
        <w:rPr>
          <w:color w:val="6E6158"/>
        </w:rPr>
        <w:t>Panelist,“Establishing OZ Funds: Direct Investment vs. Joint Venture vs. Passive Investments,” </w:t>
      </w:r>
      <w:r>
        <w:rPr>
          <w:color w:val="6E6158"/>
        </w:rPr>
        <w:t>2020 Fall Virtual Opportunity Zone Expo (November 13, 2020)</w:t>
      </w:r>
    </w:p>
    <w:p>
      <w:pPr>
        <w:pStyle w:val="BodyText"/>
        <w:spacing w:line="292" w:lineRule="auto" w:before="124"/>
        <w:ind w:right="263"/>
      </w:pPr>
      <w:r>
        <w:rPr>
          <w:color w:val="6E6158"/>
        </w:rPr>
        <w:t>Speaker, “Progress-to-date and The Road Ahead,” Novogradac 2020 Opportunity Zones </w:t>
      </w:r>
      <w:r>
        <w:rPr>
          <w:color w:val="6E6158"/>
        </w:rPr>
        <w:t>Fall Virtual Conference (October 23, 2020)</w:t>
      </w:r>
    </w:p>
    <w:p>
      <w:pPr>
        <w:pStyle w:val="BodyText"/>
        <w:spacing w:line="292" w:lineRule="auto" w:before="131"/>
        <w:ind w:right="395"/>
      </w:pPr>
      <w:r>
        <w:rPr>
          <w:color w:val="6E6158"/>
        </w:rPr>
        <w:t>Presenter, “It’s Not Too Late to Invest in Opportunity Zone Funds,” Prescott Estate Planning Council (September 23, 2020)</w:t>
      </w:r>
    </w:p>
    <w:p>
      <w:pPr>
        <w:pStyle w:val="BodyText"/>
        <w:spacing w:line="292" w:lineRule="auto" w:before="123"/>
        <w:ind w:right="263"/>
      </w:pPr>
      <w:r>
        <w:rPr>
          <w:color w:val="6E6158"/>
        </w:rPr>
        <w:t>Moderator, “OZ Entrepreneur: How Do I Start My Own QOF or QOZBs,” 2020 Virtual Opportunity Zone Expo (June 24-25, 2020)</w:t>
      </w:r>
    </w:p>
    <w:p>
      <w:pPr>
        <w:pStyle w:val="BodyText"/>
        <w:spacing w:line="292" w:lineRule="auto" w:before="132"/>
      </w:pPr>
      <w:r>
        <w:rPr>
          <w:color w:val="6E6158"/>
        </w:rPr>
        <w:t>Panelist, “Opportunity Zone Forum: Final Regulations Review &amp; Next Steps,” Arizona </w:t>
      </w:r>
      <w:r>
        <w:rPr>
          <w:color w:val="6E6158"/>
        </w:rPr>
        <w:t>Commerce</w:t>
      </w:r>
      <w:r>
        <w:rPr>
          <w:color w:val="6E6158"/>
          <w:spacing w:val="40"/>
        </w:rPr>
        <w:t> </w:t>
      </w:r>
      <w:r>
        <w:rPr>
          <w:color w:val="6E6158"/>
        </w:rPr>
        <w:t>Authority (February 27, 2020)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“Opportunity Zone Incentive: Key Issues for Business, Investors, and Funds,” State Bar of</w:t>
      </w:r>
      <w:r>
        <w:rPr>
          <w:color w:val="6E6158"/>
          <w:spacing w:val="40"/>
        </w:rPr>
        <w:t> </w:t>
      </w:r>
      <w:r>
        <w:rPr>
          <w:color w:val="6E6158"/>
        </w:rPr>
        <w:t>Arizona (February 19, 2020)</w:t>
      </w:r>
    </w:p>
    <w:p>
      <w:pPr>
        <w:pStyle w:val="BodyText"/>
        <w:spacing w:line="292" w:lineRule="auto" w:before="113"/>
      </w:pPr>
      <w:r>
        <w:rPr>
          <w:color w:val="6E6158"/>
        </w:rPr>
        <w:t>Presenter, “Pinal County Qualified Opportunity Zone Investment and Development Forum,” </w:t>
      </w:r>
      <w:r>
        <w:rPr>
          <w:color w:val="6E6158"/>
        </w:rPr>
        <w:t>Pinal County (October 18, 2019)</w:t>
      </w:r>
    </w:p>
    <w:p>
      <w:pPr>
        <w:pStyle w:val="BodyText"/>
        <w:spacing w:line="302" w:lineRule="auto" w:before="123"/>
      </w:pPr>
      <w:r>
        <w:rPr>
          <w:color w:val="6E6158"/>
        </w:rPr>
        <w:t>Presenter, “Opportunity Zone Roundtable with Congressman Paul Gosar,” Opportunity </w:t>
      </w:r>
      <w:r>
        <w:rPr>
          <w:color w:val="6E6158"/>
        </w:rPr>
        <w:t>Zone Roundtable (August 2, 2019)</w:t>
      </w:r>
    </w:p>
    <w:p>
      <w:pPr>
        <w:pStyle w:val="BodyText"/>
        <w:spacing w:line="292" w:lineRule="auto" w:before="113"/>
        <w:ind w:right="263"/>
      </w:pPr>
      <w:r>
        <w:rPr>
          <w:color w:val="6E6158"/>
        </w:rPr>
        <w:t>Guest, “</w:t>
      </w:r>
      <w:hyperlink r:id="rId23">
        <w:r>
          <w:rPr>
            <w:color w:val="F5821F"/>
          </w:rPr>
          <w:t>Opportunity Zones Insights from a Real Estate Developer’s Point of View</w:t>
        </w:r>
      </w:hyperlink>
      <w:r>
        <w:rPr>
          <w:color w:val="6E6158"/>
        </w:rPr>
        <w:t>,” The Mapable</w:t>
      </w:r>
      <w:r>
        <w:rPr>
          <w:color w:val="6E6158"/>
          <w:spacing w:val="40"/>
        </w:rPr>
        <w:t> </w:t>
      </w:r>
      <w:r>
        <w:rPr>
          <w:color w:val="6E6158"/>
        </w:rPr>
        <w:t>USA Podcast (August 2, 2019)</w:t>
      </w:r>
    </w:p>
    <w:p>
      <w:pPr>
        <w:pStyle w:val="BodyText"/>
        <w:spacing w:line="302" w:lineRule="auto" w:before="123"/>
        <w:ind w:right="263"/>
      </w:pPr>
      <w:r>
        <w:rPr>
          <w:color w:val="6E6158"/>
        </w:rPr>
        <w:t>Guest, “</w:t>
      </w:r>
      <w:hyperlink r:id="rId24">
        <w:r>
          <w:rPr>
            <w:color w:val="F5821F"/>
          </w:rPr>
          <w:t>What Every Investor Needs to Understand About Opportunity Zone Investing</w:t>
        </w:r>
      </w:hyperlink>
      <w:r>
        <w:rPr>
          <w:color w:val="6E6158"/>
        </w:rPr>
        <w:t>,” </w:t>
      </w:r>
      <w:r>
        <w:rPr>
          <w:color w:val="6E6158"/>
        </w:rPr>
        <w:t>The Mapable USA Podcast (July 25, 2019)</w:t>
      </w:r>
    </w:p>
    <w:p>
      <w:pPr>
        <w:pStyle w:val="BodyText"/>
        <w:spacing w:before="113"/>
      </w:pPr>
      <w:r>
        <w:rPr>
          <w:color w:val="6E6158"/>
        </w:rPr>
        <w:t>Guest,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25"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OZExpo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Podcast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Interview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with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Jack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Heald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OZExpo</w:t>
      </w:r>
      <w:r>
        <w:rPr>
          <w:color w:val="6E6158"/>
          <w:spacing w:val="12"/>
        </w:rPr>
        <w:t> </w:t>
      </w:r>
      <w:r>
        <w:rPr>
          <w:color w:val="6E6158"/>
        </w:rPr>
        <w:t>Podcast</w:t>
      </w:r>
      <w:r>
        <w:rPr>
          <w:color w:val="6E6158"/>
          <w:spacing w:val="12"/>
        </w:rPr>
        <w:t> </w:t>
      </w:r>
      <w:r>
        <w:rPr>
          <w:color w:val="6E6158"/>
        </w:rPr>
        <w:t>(July</w:t>
      </w:r>
      <w:r>
        <w:rPr>
          <w:color w:val="6E6158"/>
          <w:spacing w:val="12"/>
        </w:rPr>
        <w:t> </w:t>
      </w:r>
      <w:r>
        <w:rPr>
          <w:color w:val="6E6158"/>
        </w:rPr>
        <w:t>9,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2019)</w:t>
      </w:r>
    </w:p>
    <w:p>
      <w:pPr>
        <w:pStyle w:val="BodyText"/>
        <w:spacing w:line="292" w:lineRule="auto" w:before="174"/>
        <w:ind w:right="26"/>
      </w:pPr>
      <w:r>
        <w:rPr>
          <w:color w:val="6E6158"/>
        </w:rPr>
        <w:t>“The Secret Power of Opportunity Zones &amp; The Fight Against Socialism in Utah,” Prosperity Council</w:t>
      </w:r>
      <w:r>
        <w:rPr>
          <w:color w:val="6E6158"/>
          <w:spacing w:val="40"/>
        </w:rPr>
        <w:t> </w:t>
      </w:r>
      <w:r>
        <w:rPr>
          <w:color w:val="6E6158"/>
        </w:rPr>
        <w:t>(May 29, 2019)</w:t>
      </w:r>
    </w:p>
    <w:p>
      <w:pPr>
        <w:pStyle w:val="BodyText"/>
        <w:spacing w:line="292" w:lineRule="auto" w:before="131"/>
      </w:pPr>
      <w:r>
        <w:rPr>
          <w:color w:val="6E6158"/>
        </w:rPr>
        <w:t>“New Qualified Opportunity Zone Incentive:</w:t>
      </w:r>
      <w:r>
        <w:rPr>
          <w:color w:val="6E6158"/>
          <w:spacing w:val="40"/>
        </w:rPr>
        <w:t> </w:t>
      </w:r>
      <w:r>
        <w:rPr>
          <w:color w:val="6E6158"/>
        </w:rPr>
        <w:t>How It Can Benefit Your Community,” </w:t>
      </w:r>
      <w:r>
        <w:rPr>
          <w:color w:val="6E6158"/>
        </w:rPr>
        <w:t>Arizona LeadingAge (May 23, 2019)</w:t>
      </w:r>
    </w:p>
    <w:p>
      <w:pPr>
        <w:pStyle w:val="BodyText"/>
        <w:spacing w:line="302" w:lineRule="auto" w:before="124"/>
        <w:ind w:right="76"/>
      </w:pPr>
      <w:r>
        <w:rPr>
          <w:color w:val="6E6158"/>
        </w:rPr>
        <w:t>“Qualified Opportunity Zones and Qualified Opportunity Funds,” Yuma County Seminar (May </w:t>
      </w:r>
      <w:r>
        <w:rPr>
          <w:color w:val="6E6158"/>
        </w:rPr>
        <w:t>8,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2019)</w:t>
      </w:r>
    </w:p>
    <w:p>
      <w:pPr>
        <w:pStyle w:val="BodyText"/>
        <w:spacing w:line="292" w:lineRule="auto" w:before="112"/>
        <w:ind w:right="263"/>
      </w:pPr>
      <w:r>
        <w:rPr>
          <w:color w:val="6E6158"/>
        </w:rPr>
        <w:t>“The Big Win-Win: How Investing in the Development of Underserved Communities Can Cut Your</w:t>
      </w:r>
      <w:r>
        <w:rPr>
          <w:color w:val="6E6158"/>
          <w:spacing w:val="40"/>
        </w:rPr>
        <w:t> </w:t>
      </w:r>
      <w:r>
        <w:rPr>
          <w:color w:val="6E6158"/>
        </w:rPr>
        <w:t>Tax Liability,” Enterprise University (May 7, 2019)</w:t>
      </w:r>
    </w:p>
    <w:p>
      <w:pPr>
        <w:pStyle w:val="BodyText"/>
        <w:spacing w:line="302" w:lineRule="auto" w:before="124"/>
        <w:ind w:right="263"/>
      </w:pPr>
      <w:r>
        <w:rPr>
          <w:color w:val="6E6158"/>
        </w:rPr>
        <w:t>“Qualified Opportunity Funds: I realized the capital gain. Now what?” Prescott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Realtor Group Meeting (May 2, 2019)</w:t>
      </w:r>
    </w:p>
    <w:p>
      <w:pPr>
        <w:pStyle w:val="BodyText"/>
        <w:spacing w:line="292" w:lineRule="auto" w:before="112"/>
        <w:ind w:right="263"/>
      </w:pPr>
      <w:r>
        <w:rPr>
          <w:color w:val="6E6158"/>
        </w:rPr>
        <w:t>Panelist, “1031 Exchanges and Opportunity Zones: Which One Should I Choose?” </w:t>
      </w:r>
      <w:r>
        <w:rPr>
          <w:color w:val="6E6158"/>
        </w:rPr>
        <w:t>Maricopa</w:t>
      </w:r>
      <w:r>
        <w:rPr>
          <w:color w:val="6E6158"/>
          <w:spacing w:val="40"/>
        </w:rPr>
        <w:t> </w:t>
      </w:r>
      <w:r>
        <w:rPr>
          <w:color w:val="6E6158"/>
        </w:rPr>
        <w:t>County Bar Association (May 1, 2019)</w:t>
      </w:r>
    </w:p>
    <w:p>
      <w:pPr>
        <w:pStyle w:val="BodyText"/>
        <w:spacing w:before="124"/>
      </w:pPr>
      <w:r>
        <w:rPr>
          <w:color w:val="6E6158"/>
        </w:rPr>
        <w:t>Panelist,</w:t>
      </w:r>
      <w:r>
        <w:rPr>
          <w:color w:val="6E6158"/>
          <w:spacing w:val="10"/>
        </w:rPr>
        <w:t> </w:t>
      </w:r>
      <w:r>
        <w:rPr>
          <w:color w:val="6E6158"/>
        </w:rPr>
        <w:t>“West</w:t>
      </w:r>
      <w:r>
        <w:rPr>
          <w:color w:val="6E6158"/>
          <w:spacing w:val="11"/>
        </w:rPr>
        <w:t> </w:t>
      </w:r>
      <w:r>
        <w:rPr>
          <w:color w:val="6E6158"/>
        </w:rPr>
        <w:t>Valley</w:t>
      </w:r>
      <w:r>
        <w:rPr>
          <w:color w:val="6E6158"/>
          <w:spacing w:val="10"/>
        </w:rPr>
        <w:t> </w:t>
      </w:r>
      <w:r>
        <w:rPr>
          <w:color w:val="6E6158"/>
        </w:rPr>
        <w:t>Opportunity</w:t>
      </w:r>
      <w:r>
        <w:rPr>
          <w:color w:val="6E6158"/>
          <w:spacing w:val="11"/>
        </w:rPr>
        <w:t> </w:t>
      </w:r>
      <w:r>
        <w:rPr>
          <w:color w:val="6E6158"/>
        </w:rPr>
        <w:t>Zone</w:t>
      </w:r>
      <w:r>
        <w:rPr>
          <w:color w:val="6E6158"/>
          <w:spacing w:val="10"/>
        </w:rPr>
        <w:t> </w:t>
      </w:r>
      <w:r>
        <w:rPr>
          <w:color w:val="6E6158"/>
        </w:rPr>
        <w:t>Forum,”</w:t>
      </w:r>
      <w:r>
        <w:rPr>
          <w:color w:val="6E6158"/>
          <w:spacing w:val="11"/>
        </w:rPr>
        <w:t> </w:t>
      </w:r>
      <w:r>
        <w:rPr>
          <w:color w:val="6E6158"/>
        </w:rPr>
        <w:t>WestMarc</w:t>
      </w:r>
      <w:r>
        <w:rPr>
          <w:color w:val="6E6158"/>
          <w:spacing w:val="10"/>
        </w:rPr>
        <w:t> </w:t>
      </w:r>
      <w:r>
        <w:rPr>
          <w:color w:val="6E6158"/>
        </w:rPr>
        <w:t>Seminar</w:t>
      </w:r>
      <w:r>
        <w:rPr>
          <w:color w:val="6E6158"/>
          <w:spacing w:val="11"/>
        </w:rPr>
        <w:t> </w:t>
      </w:r>
      <w:r>
        <w:rPr>
          <w:color w:val="6E6158"/>
        </w:rPr>
        <w:t>(February</w:t>
      </w:r>
      <w:r>
        <w:rPr>
          <w:color w:val="6E6158"/>
          <w:spacing w:val="11"/>
        </w:rPr>
        <w:t> </w:t>
      </w:r>
      <w:r>
        <w:rPr>
          <w:color w:val="6E6158"/>
        </w:rPr>
        <w:t>28,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2019)</w:t>
      </w:r>
    </w:p>
    <w:p>
      <w:pPr>
        <w:pStyle w:val="BodyText"/>
        <w:spacing w:line="292" w:lineRule="auto" w:before="182"/>
        <w:ind w:right="263"/>
      </w:pPr>
      <w:r>
        <w:rPr>
          <w:color w:val="6E6158"/>
        </w:rPr>
        <w:t>Panelist, “Yavapai County Qualified Opportunity Zones Forum,” Yavapai County </w:t>
      </w:r>
      <w:r>
        <w:rPr>
          <w:color w:val="6E6158"/>
        </w:rPr>
        <w:t>Seminar (February 27, 2019)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Panelist, “Qualified Opportunity Zones in Southern Arizona,” Local Initiatives Support </w:t>
      </w:r>
      <w:r>
        <w:rPr>
          <w:color w:val="6E6158"/>
        </w:rPr>
        <w:t>Corporation</w:t>
      </w:r>
      <w:r>
        <w:rPr>
          <w:color w:val="6E6158"/>
          <w:spacing w:val="40"/>
        </w:rPr>
        <w:t> </w:t>
      </w:r>
      <w:r>
        <w:rPr>
          <w:color w:val="6E6158"/>
        </w:rPr>
        <w:t>(LISC) (January 25, 2019)</w:t>
      </w:r>
    </w:p>
    <w:p>
      <w:pPr>
        <w:pStyle w:val="BodyText"/>
        <w:spacing w:before="132"/>
      </w:pPr>
      <w:r>
        <w:rPr>
          <w:color w:val="6E6158"/>
        </w:rPr>
        <w:t>Panelist,</w:t>
      </w:r>
      <w:r>
        <w:rPr>
          <w:color w:val="6E6158"/>
          <w:spacing w:val="16"/>
        </w:rPr>
        <w:t> </w:t>
      </w:r>
      <w:r>
        <w:rPr>
          <w:color w:val="6E6158"/>
        </w:rPr>
        <w:t>“Qualified</w:t>
      </w:r>
      <w:r>
        <w:rPr>
          <w:color w:val="6E6158"/>
          <w:spacing w:val="17"/>
        </w:rPr>
        <w:t> </w:t>
      </w:r>
      <w:r>
        <w:rPr>
          <w:color w:val="6E6158"/>
        </w:rPr>
        <w:t>Opportunity</w:t>
      </w:r>
      <w:r>
        <w:rPr>
          <w:color w:val="6E6158"/>
          <w:spacing w:val="17"/>
        </w:rPr>
        <w:t> </w:t>
      </w:r>
      <w:r>
        <w:rPr>
          <w:color w:val="6E6158"/>
        </w:rPr>
        <w:t>Zone</w:t>
      </w:r>
      <w:r>
        <w:rPr>
          <w:color w:val="6E6158"/>
          <w:spacing w:val="17"/>
        </w:rPr>
        <w:t> </w:t>
      </w:r>
      <w:r>
        <w:rPr>
          <w:color w:val="6E6158"/>
        </w:rPr>
        <w:t>Discussion,”</w:t>
      </w:r>
      <w:r>
        <w:rPr>
          <w:color w:val="6E6158"/>
          <w:spacing w:val="17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</w:rPr>
        <w:t>Firm</w:t>
      </w:r>
      <w:r>
        <w:rPr>
          <w:color w:val="6E6158"/>
          <w:spacing w:val="17"/>
        </w:rPr>
        <w:t> </w:t>
      </w:r>
      <w:r>
        <w:rPr>
          <w:color w:val="6E6158"/>
        </w:rPr>
        <w:t>Alliance</w:t>
      </w:r>
      <w:r>
        <w:rPr>
          <w:color w:val="6E6158"/>
          <w:spacing w:val="17"/>
        </w:rPr>
        <w:t> </w:t>
      </w:r>
      <w:r>
        <w:rPr>
          <w:color w:val="6E6158"/>
        </w:rPr>
        <w:t>(December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2018)</w:t>
      </w:r>
    </w:p>
    <w:p>
      <w:pPr>
        <w:pStyle w:val="BodyText"/>
        <w:spacing w:line="406" w:lineRule="exact" w:before="40"/>
        <w:ind w:right="76"/>
        <w:rPr>
          <w:i/>
          <w:sz w:val="20"/>
        </w:rPr>
      </w:pPr>
      <w:r>
        <w:rPr>
          <w:color w:val="6E6158"/>
        </w:rPr>
        <w:t>Panelist, “Qualified Opportunity Zones Seminar,” Jennings, Strouss &amp; Salmon (November 1, </w:t>
      </w:r>
      <w:r>
        <w:rPr>
          <w:color w:val="6E6158"/>
        </w:rPr>
        <w:t>2018) “</w:t>
      </w:r>
      <w:hyperlink r:id="rId26">
        <w:r>
          <w:rPr>
            <w:color w:val="F5821F"/>
          </w:rPr>
          <w:t>New Tax Incentive for Development in Low-Income Communities, Part I</w:t>
        </w:r>
      </w:hyperlink>
      <w:r>
        <w:rPr>
          <w:color w:val="6E6158"/>
        </w:rPr>
        <w:t>,” </w:t>
      </w:r>
      <w:r>
        <w:rPr>
          <w:i/>
          <w:color w:val="6E6158"/>
          <w:sz w:val="20"/>
        </w:rPr>
        <w:t>Jennings Strouss</w:t>
      </w:r>
    </w:p>
    <w:p>
      <w:pPr>
        <w:spacing w:before="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Blog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(August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2018)</w:t>
      </w:r>
    </w:p>
    <w:p>
      <w:pPr>
        <w:pStyle w:val="BodyText"/>
        <w:spacing w:line="292" w:lineRule="auto" w:before="180"/>
      </w:pPr>
      <w:r>
        <w:rPr>
          <w:color w:val="6E6158"/>
        </w:rPr>
        <w:t>Panelist, “Qualified Opportunity Zones and Qualified Opportunity Funds,” Maricopa County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Association (October 25, 2018)</w:t>
      </w:r>
    </w:p>
    <w:p>
      <w:pPr>
        <w:pStyle w:val="BodyText"/>
        <w:spacing w:line="292" w:lineRule="auto" w:before="123"/>
      </w:pPr>
      <w:r>
        <w:rPr>
          <w:color w:val="6E6158"/>
        </w:rPr>
        <w:t>Panelist, “Introduction to and Tips for Success in Transactional Practice,” Judicial </w:t>
      </w:r>
      <w:r>
        <w:rPr>
          <w:color w:val="6E6158"/>
        </w:rPr>
        <w:t>Internship</w:t>
      </w:r>
      <w:r>
        <w:rPr>
          <w:color w:val="6E6158"/>
          <w:spacing w:val="40"/>
        </w:rPr>
        <w:t> </w:t>
      </w:r>
      <w:r>
        <w:rPr>
          <w:color w:val="6E6158"/>
        </w:rPr>
        <w:t>Opportunity Program (June 2018)</w:t>
      </w:r>
    </w:p>
    <w:p>
      <w:pPr>
        <w:pStyle w:val="BodyText"/>
        <w:spacing w:line="420" w:lineRule="auto" w:before="132"/>
        <w:ind w:right="1268"/>
        <w:jc w:val="both"/>
      </w:pPr>
      <w:r>
        <w:rPr>
          <w:color w:val="6E6158"/>
        </w:rPr>
        <w:t>Moderator, “15-Year Issues,” National Leased Housing Association Conference (2016) “Partnership Exit Strategies,” National Leased Housing Association Conference </w:t>
      </w:r>
      <w:r>
        <w:rPr>
          <w:color w:val="6E6158"/>
        </w:rPr>
        <w:t>(2015) “Economic Substance Doctrine,” Virginia Housing Conference (2011)</w:t>
      </w:r>
    </w:p>
    <w:p>
      <w:pPr>
        <w:pStyle w:val="Heading1"/>
        <w:spacing w:before="28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(2017)</w:t>
      </w:r>
    </w:p>
    <w:p>
      <w:pPr>
        <w:pStyle w:val="BodyText"/>
        <w:spacing w:before="173"/>
      </w:pPr>
      <w:r>
        <w:rPr>
          <w:color w:val="6E6158"/>
        </w:rPr>
        <w:t>Illinois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(2003)</w:t>
      </w:r>
    </w:p>
    <w:p>
      <w:pPr>
        <w:pStyle w:val="BodyText"/>
        <w:spacing w:before="174"/>
      </w:pPr>
      <w:r>
        <w:rPr>
          <w:color w:val="6E6158"/>
        </w:rPr>
        <w:t>Minnesota</w:t>
      </w:r>
      <w:r>
        <w:rPr>
          <w:color w:val="6E6158"/>
          <w:spacing w:val="16"/>
        </w:rPr>
        <w:t> </w:t>
      </w:r>
      <w:r>
        <w:rPr>
          <w:color w:val="6E6158"/>
        </w:rPr>
        <w:t>(2017)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(Inactive)</w:t>
      </w:r>
    </w:p>
    <w:p>
      <w:pPr>
        <w:pStyle w:val="BodyText"/>
        <w:spacing w:line="427" w:lineRule="auto" w:before="174"/>
        <w:ind w:right="5056"/>
      </w:pPr>
      <w:r>
        <w:rPr>
          <w:color w:val="6E6158"/>
        </w:rPr>
        <w:t>District of Columbia (2007) </w:t>
      </w:r>
      <w:r>
        <w:rPr>
          <w:color w:val="6E6158"/>
        </w:rPr>
        <w:t>(Inactive) Maryland (2006) (Inactive)</w:t>
      </w:r>
    </w:p>
    <w:p>
      <w:pPr>
        <w:pStyle w:val="Heading1"/>
        <w:spacing w:before="276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German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bsiglin@fennemorelaw.com" TargetMode="External"/><Relationship Id="rId11" Type="http://schemas.openxmlformats.org/officeDocument/2006/relationships/hyperlink" Target="https://www.fennemorelaw.com/wp-content/uploads/2025/12/12-28-Brett-Siglin-CRE-outlook.m4a" TargetMode="External"/><Relationship Id="rId12" Type="http://schemas.openxmlformats.org/officeDocument/2006/relationships/hyperlink" Target="https://www.youtube.com/watch?v=irDG6q-mJgI" TargetMode="External"/><Relationship Id="rId13" Type="http://schemas.openxmlformats.org/officeDocument/2006/relationships/hyperlink" Target="https://www.fennemorelaw.com/opportunity-zone-investment-generates-positive-impact-in-arizona-with-ongoing-prospect-for-extension-of-oz-incentive/" TargetMode="External"/><Relationship Id="rId14" Type="http://schemas.openxmlformats.org/officeDocument/2006/relationships/hyperlink" Target="https://www.opportunityzone.com/posts/year-end-countdown-begins-for-opportunity-zone-deadline/" TargetMode="External"/><Relationship Id="rId15" Type="http://schemas.openxmlformats.org/officeDocument/2006/relationships/hyperlink" Target="https://www.opportunityzone.com/posts/how-to-make-esg-investments-more-effective-in-opportunity-zones/" TargetMode="External"/><Relationship Id="rId16" Type="http://schemas.openxmlformats.org/officeDocument/2006/relationships/hyperlink" Target="https://www.opportunityzone.com/posts/new-bill-introduced-to-extend-opportunity-zones-beyond-2026/" TargetMode="External"/><Relationship Id="rId17" Type="http://schemas.openxmlformats.org/officeDocument/2006/relationships/hyperlink" Target="https://drive.google.com/file/d/18WOCabEp2vg8otQn-mKd870GAfPI_DOq/view?usp=sharing" TargetMode="External"/><Relationship Id="rId18" Type="http://schemas.openxmlformats.org/officeDocument/2006/relationships/hyperlink" Target="https://www.opportunityzone.com/posts/capital-raising-developments-for-qualified-opportunity-funds/" TargetMode="External"/><Relationship Id="rId19" Type="http://schemas.openxmlformats.org/officeDocument/2006/relationships/hyperlink" Target="https://attorneyatlawmagazine.com/college-athletes-jennings-strouss-salmon" TargetMode="External"/><Relationship Id="rId20" Type="http://schemas.openxmlformats.org/officeDocument/2006/relationships/hyperlink" Target="https://jsslaw.com/qualified-opportunity-zones-newly-released-guidance-by-internal-revenue-service-irs/" TargetMode="External"/><Relationship Id="rId21" Type="http://schemas.openxmlformats.org/officeDocument/2006/relationships/hyperlink" Target="https://www.ccim.com/cire-magazine/articles/2019/01/opportunity-knocks/?gmSsoPc=1" TargetMode="External"/><Relationship Id="rId22" Type="http://schemas.openxmlformats.org/officeDocument/2006/relationships/hyperlink" Target="https://azbigmedia.com/here-are-the-tax-benefits-associated-with-opportunity-zones/" TargetMode="External"/><Relationship Id="rId23" Type="http://schemas.openxmlformats.org/officeDocument/2006/relationships/hyperlink" Target="https://mapableusa.com/opportunity-zones-insights-from-a-real-estate-developers-point-of-view/" TargetMode="External"/><Relationship Id="rId24" Type="http://schemas.openxmlformats.org/officeDocument/2006/relationships/hyperlink" Target="https://www.spreaker.com/user/vegasrealestateshow/what-every-investor-needs-to-understand-" TargetMode="External"/><Relationship Id="rId25" Type="http://schemas.openxmlformats.org/officeDocument/2006/relationships/hyperlink" Target="https://www.buzzsprout.com/273490/1426120-brett-siglin-knows-least-8-different-ways-to-build-a-capital-stack-using-government-programs" TargetMode="External"/><Relationship Id="rId26" Type="http://schemas.openxmlformats.org/officeDocument/2006/relationships/hyperlink" Target="https://jsslaw.com/new-tax-incentive-for-development-in-low-income-communities-part-i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Brett D. Siglin - Fennemore</dc:title>
  <dcterms:created xsi:type="dcterms:W3CDTF">2026-06-12T10:02:14Z</dcterms:created>
  <dcterms:modified xsi:type="dcterms:W3CDTF">2026-06-12T10:02:14Z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