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236"/>
        <w:ind w:left="0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-2956956</wp:posOffset>
                </wp:positionV>
                <wp:extent cx="6071870" cy="28886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Brett Sullivan 252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544773" y="1369338"/>
                            <a:ext cx="201548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5489" h="320675">
                                <a:moveTo>
                                  <a:pt x="2015248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2015248" y="320382"/>
                                </a:lnTo>
                                <a:lnTo>
                                  <a:pt x="2015248" y="315214"/>
                                </a:lnTo>
                                <a:close/>
                              </a:path>
                              <a:path w="2015489" h="320675">
                                <a:moveTo>
                                  <a:pt x="2015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015248" y="5168"/>
                                </a:lnTo>
                                <a:lnTo>
                                  <a:pt x="2015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547036" y="763308"/>
                            <a:ext cx="2026285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BRETT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T.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39"/>
                                </w:rPr>
                                <w:t>SULLIVAN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32468" y="1859626"/>
                            <a:ext cx="45529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Spokane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08640" y="2019783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509.828.4642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24457" y="2019783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509.455.3718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799347" y="2226505"/>
                            <a:ext cx="152146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bsullivan@fennemorelaw.com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32.831253pt;width:478.1pt;height:227.45pt;mso-position-horizontal-relative:page;mso-position-vertical-relative:paragraph;z-index:15728640" id="docshapegroup1" coordorigin="1336,-4657" coordsize="9562,4549">
                <v:shape style="position:absolute;left:1336;top:-4657;width:2165;height:424" type="#_x0000_t75" id="docshape2" alt="Fennemore" href="https://www.fennemorelaw.com/" stroked="false">
                  <v:imagedata r:id="rId5" o:title=""/>
                </v:shape>
                <v:shape style="position:absolute;left:1336;top:-4234;width:4785;height:4126" type="#_x0000_t75" id="docshape3" alt="Brett Sullivan 2528" stroked="false">
                  <v:imagedata r:id="rId7" o:title=""/>
                </v:shape>
                <v:rect style="position:absolute;left:6121;top:-4234;width:4777;height:4126" id="docshape4" filled="true" fillcolor="#262424" stroked="false">
                  <v:fill type="solid"/>
                </v:rect>
                <v:shape style="position:absolute;left:6918;top:-2501;width:3174;height:505" id="docshape5" coordorigin="6919,-2500" coordsize="3174,505" path="m10092,-2004l6919,-2004,6919,-1996,10092,-1996,10092,-2004xm10092,-2500l6919,-2500,6919,-2492,10092,-2492,10092,-250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922;top:-3455;width:3191;height:1300" type="#_x0000_t202" id="docshape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BRETT</w:t>
                        </w:r>
                        <w:r>
                          <w:rPr>
                            <w:color w:val="FFFFFF"/>
                            <w:spacing w:val="-14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T.</w:t>
                        </w:r>
                        <w:r>
                          <w:rPr>
                            <w:color w:val="FFFFFF"/>
                            <w:spacing w:val="-14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8"/>
                            <w:sz w:val="39"/>
                          </w:rPr>
                          <w:t>SULLIVAN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9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58;top:-1729;width:717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Spokane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019;top:-1476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509.828.4642</w:t>
                        </w:r>
                      </w:p>
                    </w:txbxContent>
                  </v:textbox>
                  <w10:wrap type="none"/>
                </v:shape>
                <v:shape style="position:absolute;left:8776;top:-1476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509.455.3718</w:t>
                        </w:r>
                      </w:p>
                    </w:txbxContent>
                  </v:textbox>
                  <w10:wrap type="none"/>
                </v:shape>
                <v:shape style="position:absolute;left:7319;top:-1151;width:2396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bsullivan@fennemorelaw.com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BRETT</w:t>
      </w:r>
      <w:r>
        <w:rPr>
          <w:color w:val="FF8100"/>
          <w:spacing w:val="4"/>
        </w:rPr>
        <w:t> </w:t>
      </w:r>
      <w:r>
        <w:rPr>
          <w:color w:val="FF8100"/>
        </w:rPr>
        <w:t>T.</w:t>
      </w:r>
      <w:r>
        <w:rPr>
          <w:color w:val="FF8100"/>
          <w:spacing w:val="5"/>
        </w:rPr>
        <w:t> </w:t>
      </w:r>
      <w:r>
        <w:rPr>
          <w:color w:val="FF8100"/>
          <w:spacing w:val="-2"/>
        </w:rPr>
        <w:t>SULLIVAN</w:t>
      </w:r>
    </w:p>
    <w:p>
      <w:pPr>
        <w:pStyle w:val="BodyText"/>
        <w:spacing w:line="297" w:lineRule="auto" w:before="147"/>
        <w:ind w:right="355"/>
      </w:pPr>
      <w:r>
        <w:rPr>
          <w:color w:val="6E6158"/>
        </w:rPr>
        <w:t>Brett T. Sullivan’s practice focuses on business and real estate law, with particular emphasis on</w:t>
      </w:r>
      <w:r>
        <w:rPr>
          <w:color w:val="6E6158"/>
          <w:spacing w:val="40"/>
        </w:rPr>
        <w:t> </w:t>
      </w:r>
      <w:r>
        <w:rPr>
          <w:color w:val="6E6158"/>
        </w:rPr>
        <w:t>the intersection of these two areas. He advises business and individual clients in all aspects of</w:t>
      </w:r>
      <w:r>
        <w:rPr>
          <w:color w:val="6E6158"/>
          <w:spacing w:val="40"/>
        </w:rPr>
        <w:t> </w:t>
      </w:r>
      <w:r>
        <w:rPr>
          <w:color w:val="6E6158"/>
        </w:rPr>
        <w:t>business and entity formation, management, governance, financing, operations, and </w:t>
      </w:r>
      <w:r>
        <w:rPr>
          <w:color w:val="6E6158"/>
        </w:rPr>
        <w:t>business</w:t>
      </w:r>
      <w:r>
        <w:rPr>
          <w:color w:val="6E6158"/>
          <w:spacing w:val="40"/>
        </w:rPr>
        <w:t> </w:t>
      </w:r>
      <w:r>
        <w:rPr>
          <w:color w:val="6E6158"/>
        </w:rPr>
        <w:t>closings. His clients include real estate investors, developers, agribusinesses, and closely held</w:t>
      </w:r>
      <w:r>
        <w:rPr>
          <w:color w:val="6E6158"/>
          <w:spacing w:val="40"/>
        </w:rPr>
        <w:t> </w:t>
      </w:r>
      <w:r>
        <w:rPr>
          <w:color w:val="6E6158"/>
        </w:rPr>
        <w:t>companies across Washington state.</w:t>
      </w:r>
    </w:p>
    <w:p>
      <w:pPr>
        <w:pStyle w:val="BodyText"/>
        <w:spacing w:line="295" w:lineRule="auto" w:before="191"/>
        <w:ind w:right="355"/>
      </w:pPr>
      <w:r>
        <w:rPr>
          <w:color w:val="6E6158"/>
        </w:rPr>
        <w:t>Brett also serves as outside general counsel to closely held service, consulting, and </w:t>
      </w:r>
      <w:r>
        <w:rPr>
          <w:color w:val="6E6158"/>
        </w:rPr>
        <w:t>agribusiness</w:t>
      </w:r>
      <w:r>
        <w:rPr>
          <w:color w:val="6E6158"/>
          <w:spacing w:val="40"/>
        </w:rPr>
        <w:t> </w:t>
      </w:r>
      <w:r>
        <w:rPr>
          <w:color w:val="6E6158"/>
        </w:rPr>
        <w:t>companies, as well as real estate developers and investors, advising on day-to-day contracts,</w:t>
      </w:r>
      <w:r>
        <w:rPr>
          <w:color w:val="6E6158"/>
          <w:spacing w:val="40"/>
        </w:rPr>
        <w:t> </w:t>
      </w:r>
      <w:r>
        <w:rPr>
          <w:color w:val="6E6158"/>
        </w:rPr>
        <w:t>corporate governance, risk management, and strategic transactions. Drawing on his prior</w:t>
      </w:r>
      <w:r>
        <w:rPr>
          <w:color w:val="6E6158"/>
          <w:spacing w:val="40"/>
        </w:rPr>
        <w:t> </w:t>
      </w:r>
      <w:r>
        <w:rPr>
          <w:color w:val="6E6158"/>
        </w:rPr>
        <w:t>experience as in-house general counsel to a regional general contractor and developer, he brings a practical, business-first approach to legal strategy. Brett also provides focused real</w:t>
      </w:r>
      <w:r>
        <w:rPr>
          <w:color w:val="6E6158"/>
          <w:spacing w:val="40"/>
        </w:rPr>
        <w:t> </w:t>
      </w:r>
      <w:r>
        <w:rPr>
          <w:color w:val="6E6158"/>
        </w:rPr>
        <w:t>estate counsel to publicly held companies, including leasing, financing, and asset acquisition</w:t>
      </w:r>
      <w:r>
        <w:rPr>
          <w:color w:val="6E6158"/>
          <w:spacing w:val="40"/>
        </w:rPr>
        <w:t> </w:t>
      </w:r>
      <w:r>
        <w:rPr>
          <w:color w:val="6E6158"/>
        </w:rPr>
        <w:t>and disposition matters across Washington state.</w:t>
      </w:r>
    </w:p>
    <w:p>
      <w:pPr>
        <w:pStyle w:val="BodyText"/>
        <w:spacing w:line="292" w:lineRule="auto" w:before="200"/>
        <w:ind w:right="355"/>
      </w:pPr>
      <w:r>
        <w:rPr>
          <w:color w:val="6E6158"/>
        </w:rPr>
        <w:t>In addition to his general counsel and business advisory work, Brett provides neutral escrow</w:t>
      </w:r>
      <w:r>
        <w:rPr>
          <w:color w:val="6E6158"/>
          <w:spacing w:val="40"/>
        </w:rPr>
        <w:t> </w:t>
      </w:r>
      <w:r>
        <w:rPr>
          <w:color w:val="6E6158"/>
        </w:rPr>
        <w:t>services</w:t>
      </w:r>
      <w:r>
        <w:rPr>
          <w:color w:val="6E6158"/>
          <w:spacing w:val="29"/>
        </w:rPr>
        <w:t> </w:t>
      </w:r>
      <w:r>
        <w:rPr>
          <w:color w:val="6E6158"/>
        </w:rPr>
        <w:t>for</w:t>
      </w:r>
      <w:r>
        <w:rPr>
          <w:color w:val="6E6158"/>
          <w:spacing w:val="29"/>
        </w:rPr>
        <w:t> </w:t>
      </w:r>
      <w:r>
        <w:rPr>
          <w:color w:val="6E6158"/>
        </w:rPr>
        <w:t>business</w:t>
      </w:r>
      <w:r>
        <w:rPr>
          <w:color w:val="6E6158"/>
          <w:spacing w:val="29"/>
        </w:rPr>
        <w:t> </w:t>
      </w:r>
      <w:r>
        <w:rPr>
          <w:color w:val="6E6158"/>
        </w:rPr>
        <w:t>purchase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sale</w:t>
      </w:r>
      <w:r>
        <w:rPr>
          <w:color w:val="6E6158"/>
          <w:spacing w:val="29"/>
        </w:rPr>
        <w:t> </w:t>
      </w:r>
      <w:r>
        <w:rPr>
          <w:color w:val="6E6158"/>
        </w:rPr>
        <w:t>transactions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sale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unique</w:t>
      </w:r>
      <w:r>
        <w:rPr>
          <w:color w:val="6E6158"/>
          <w:spacing w:val="29"/>
        </w:rPr>
        <w:t> </w:t>
      </w:r>
      <w:r>
        <w:rPr>
          <w:color w:val="6E6158"/>
        </w:rPr>
        <w:t>assets,</w:t>
      </w:r>
      <w:r>
        <w:rPr>
          <w:color w:val="6E6158"/>
          <w:spacing w:val="29"/>
        </w:rPr>
        <w:t> </w:t>
      </w:r>
      <w:r>
        <w:rPr>
          <w:color w:val="6E6158"/>
        </w:rPr>
        <w:t>including water right transfers. He also provides a full spectrum of services to owner associations, </w:t>
      </w:r>
      <w:r>
        <w:rPr>
          <w:color w:val="6E6158"/>
        </w:rPr>
        <w:t>including</w:t>
      </w:r>
      <w:r>
        <w:rPr>
          <w:color w:val="6E6158"/>
          <w:spacing w:val="40"/>
        </w:rPr>
        <w:t> </w:t>
      </w:r>
      <w:r>
        <w:rPr>
          <w:color w:val="6E6158"/>
        </w:rPr>
        <w:t>governance, compliance, and transactional matters.</w:t>
      </w:r>
    </w:p>
    <w:p>
      <w:pPr>
        <w:pStyle w:val="BodyText"/>
        <w:spacing w:before="206"/>
      </w:pPr>
      <w:r>
        <w:rPr>
          <w:color w:val="6E6158"/>
        </w:rPr>
        <w:t>Brett</w:t>
      </w:r>
      <w:r>
        <w:rPr>
          <w:color w:val="6E6158"/>
          <w:spacing w:val="11"/>
        </w:rPr>
        <w:t> </w:t>
      </w:r>
      <w:r>
        <w:rPr>
          <w:color w:val="6E6158"/>
        </w:rPr>
        <w:t>brings</w:t>
      </w:r>
      <w:r>
        <w:rPr>
          <w:color w:val="6E6158"/>
          <w:spacing w:val="12"/>
        </w:rPr>
        <w:t> </w:t>
      </w:r>
      <w:r>
        <w:rPr>
          <w:color w:val="6E6158"/>
        </w:rPr>
        <w:t>to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table</w:t>
      </w:r>
      <w:r>
        <w:rPr>
          <w:color w:val="6E6158"/>
          <w:spacing w:val="12"/>
        </w:rPr>
        <w:t> </w:t>
      </w:r>
      <w:r>
        <w:rPr>
          <w:color w:val="6E6158"/>
        </w:rPr>
        <w:t>significant</w:t>
      </w:r>
      <w:r>
        <w:rPr>
          <w:color w:val="6E6158"/>
          <w:spacing w:val="12"/>
        </w:rPr>
        <w:t> </w:t>
      </w:r>
      <w:r>
        <w:rPr>
          <w:color w:val="6E6158"/>
        </w:rPr>
        <w:t>experience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commercial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residential</w:t>
      </w:r>
      <w:r>
        <w:rPr>
          <w:color w:val="6E6158"/>
          <w:spacing w:val="12"/>
        </w:rPr>
        <w:t> </w:t>
      </w:r>
      <w:r>
        <w:rPr>
          <w:color w:val="6E6158"/>
        </w:rPr>
        <w:t>real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estate</w:t>
      </w:r>
    </w:p>
    <w:p>
      <w:pPr>
        <w:pStyle w:val="BodyText"/>
        <w:spacing w:line="295" w:lineRule="auto" w:before="52"/>
        <w:ind w:right="153"/>
      </w:pPr>
      <w:r>
        <w:rPr>
          <w:color w:val="6E6158"/>
        </w:rPr>
        <w:t>development matters as well as entity formation and governance, and his experience includes</w:t>
      </w:r>
      <w:r>
        <w:rPr>
          <w:color w:val="6E6158"/>
          <w:spacing w:val="40"/>
        </w:rPr>
        <w:t> </w:t>
      </w:r>
      <w:r>
        <w:rPr>
          <w:color w:val="6E6158"/>
        </w:rPr>
        <w:t>both</w:t>
      </w:r>
      <w:r>
        <w:rPr>
          <w:color w:val="6E6158"/>
          <w:spacing w:val="31"/>
        </w:rPr>
        <w:t> </w:t>
      </w:r>
      <w:r>
        <w:rPr>
          <w:color w:val="6E6158"/>
        </w:rPr>
        <w:t>transactional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litigation</w:t>
      </w:r>
      <w:r>
        <w:rPr>
          <w:color w:val="6E6158"/>
          <w:spacing w:val="31"/>
        </w:rPr>
        <w:t> </w:t>
      </w:r>
      <w:r>
        <w:rPr>
          <w:color w:val="6E6158"/>
        </w:rPr>
        <w:t>representation</w:t>
      </w:r>
      <w:r>
        <w:rPr>
          <w:color w:val="6E6158"/>
          <w:spacing w:val="31"/>
        </w:rPr>
        <w:t> </w:t>
      </w:r>
      <w:r>
        <w:rPr>
          <w:color w:val="6E6158"/>
        </w:rPr>
        <w:t>in</w:t>
      </w:r>
      <w:r>
        <w:rPr>
          <w:color w:val="6E6158"/>
          <w:spacing w:val="31"/>
        </w:rPr>
        <w:t> </w:t>
      </w:r>
      <w:r>
        <w:rPr>
          <w:color w:val="6E6158"/>
        </w:rPr>
        <w:t>these</w:t>
      </w:r>
      <w:r>
        <w:rPr>
          <w:color w:val="6E6158"/>
          <w:spacing w:val="31"/>
        </w:rPr>
        <w:t> </w:t>
      </w:r>
      <w:r>
        <w:rPr>
          <w:color w:val="6E6158"/>
        </w:rPr>
        <w:t>areas.</w:t>
      </w:r>
      <w:r>
        <w:rPr>
          <w:color w:val="6E6158"/>
          <w:spacing w:val="31"/>
        </w:rPr>
        <w:t> </w:t>
      </w:r>
      <w:r>
        <w:rPr>
          <w:color w:val="6E6158"/>
        </w:rPr>
        <w:t>His</w:t>
      </w:r>
      <w:r>
        <w:rPr>
          <w:color w:val="6E6158"/>
          <w:spacing w:val="31"/>
        </w:rPr>
        <w:t> </w:t>
      </w:r>
      <w:r>
        <w:rPr>
          <w:color w:val="6E6158"/>
        </w:rPr>
        <w:t>clients</w:t>
      </w:r>
      <w:r>
        <w:rPr>
          <w:color w:val="6E6158"/>
          <w:spacing w:val="31"/>
        </w:rPr>
        <w:t> </w:t>
      </w:r>
      <w:r>
        <w:rPr>
          <w:color w:val="6E6158"/>
        </w:rPr>
        <w:t>benefit</w:t>
      </w:r>
      <w:r>
        <w:rPr>
          <w:color w:val="6E6158"/>
          <w:spacing w:val="31"/>
        </w:rPr>
        <w:t> </w:t>
      </w:r>
      <w:r>
        <w:rPr>
          <w:color w:val="6E6158"/>
        </w:rPr>
        <w:t>from</w:t>
      </w:r>
      <w:r>
        <w:rPr>
          <w:color w:val="6E6158"/>
          <w:spacing w:val="31"/>
        </w:rPr>
        <w:t> </w:t>
      </w:r>
      <w:r>
        <w:rPr>
          <w:color w:val="6E6158"/>
        </w:rPr>
        <w:t>his</w:t>
      </w:r>
      <w:r>
        <w:rPr>
          <w:color w:val="6E6158"/>
        </w:rPr>
        <w:t> previous in-house general counsel experience and entrepreneurial mindset, and he is well known</w:t>
      </w:r>
      <w:r>
        <w:rPr>
          <w:color w:val="6E6158"/>
          <w:spacing w:val="40"/>
        </w:rPr>
        <w:t> </w:t>
      </w:r>
      <w:r>
        <w:rPr>
          <w:color w:val="6E6158"/>
        </w:rPr>
        <w:t>for</w:t>
      </w:r>
      <w:r>
        <w:rPr>
          <w:color w:val="6E6158"/>
          <w:spacing w:val="32"/>
        </w:rPr>
        <w:t> </w:t>
      </w:r>
      <w:r>
        <w:rPr>
          <w:color w:val="6E6158"/>
        </w:rPr>
        <w:t>applying</w:t>
      </w:r>
      <w:r>
        <w:rPr>
          <w:color w:val="6E6158"/>
          <w:spacing w:val="32"/>
        </w:rPr>
        <w:t> </w:t>
      </w:r>
      <w:r>
        <w:rPr>
          <w:color w:val="6E6158"/>
        </w:rPr>
        <w:t>his</w:t>
      </w:r>
      <w:r>
        <w:rPr>
          <w:color w:val="6E6158"/>
          <w:spacing w:val="32"/>
        </w:rPr>
        <w:t> </w:t>
      </w:r>
      <w:r>
        <w:rPr>
          <w:color w:val="6E6158"/>
        </w:rPr>
        <w:t>pragmatic</w:t>
      </w:r>
      <w:r>
        <w:rPr>
          <w:color w:val="6E6158"/>
          <w:spacing w:val="32"/>
        </w:rPr>
        <w:t> </w:t>
      </w:r>
      <w:r>
        <w:rPr>
          <w:color w:val="6E6158"/>
        </w:rPr>
        <w:t>business</w:t>
      </w:r>
      <w:r>
        <w:rPr>
          <w:color w:val="6E6158"/>
          <w:spacing w:val="32"/>
        </w:rPr>
        <w:t> </w:t>
      </w:r>
      <w:r>
        <w:rPr>
          <w:color w:val="6E6158"/>
        </w:rPr>
        <w:t>experience</w:t>
      </w:r>
      <w:r>
        <w:rPr>
          <w:color w:val="6E6158"/>
          <w:spacing w:val="32"/>
        </w:rPr>
        <w:t> </w:t>
      </w:r>
      <w:r>
        <w:rPr>
          <w:color w:val="6E6158"/>
        </w:rPr>
        <w:t>as</w:t>
      </w:r>
      <w:r>
        <w:rPr>
          <w:color w:val="6E6158"/>
          <w:spacing w:val="32"/>
        </w:rPr>
        <w:t> </w:t>
      </w:r>
      <w:r>
        <w:rPr>
          <w:color w:val="6E6158"/>
        </w:rPr>
        <w:t>a</w:t>
      </w:r>
      <w:r>
        <w:rPr>
          <w:color w:val="6E6158"/>
          <w:spacing w:val="32"/>
        </w:rPr>
        <w:t> </w:t>
      </w:r>
      <w:r>
        <w:rPr>
          <w:color w:val="6E6158"/>
        </w:rPr>
        <w:t>counselor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advisor</w:t>
      </w:r>
      <w:r>
        <w:rPr>
          <w:color w:val="6E6158"/>
          <w:spacing w:val="32"/>
        </w:rPr>
        <w:t> </w:t>
      </w:r>
      <w:r>
        <w:rPr>
          <w:color w:val="6E6158"/>
        </w:rPr>
        <w:t>to</w:t>
      </w:r>
      <w:r>
        <w:rPr>
          <w:color w:val="6E6158"/>
          <w:spacing w:val="32"/>
        </w:rPr>
        <w:t> </w:t>
      </w:r>
      <w:r>
        <w:rPr>
          <w:color w:val="6E6158"/>
        </w:rPr>
        <w:t>management teams and business owners.</w:t>
      </w:r>
    </w:p>
    <w:p>
      <w:pPr>
        <w:pStyle w:val="BodyText"/>
        <w:spacing w:line="302" w:lineRule="auto" w:before="194"/>
      </w:pPr>
      <w:r>
        <w:rPr>
          <w:color w:val="6E6158"/>
        </w:rPr>
        <w:t>Brett first started practicing law in 1994 after having clerked with a Spokane law firm during law</w:t>
      </w:r>
      <w:r>
        <w:rPr>
          <w:color w:val="6E6158"/>
          <w:spacing w:val="40"/>
        </w:rPr>
        <w:t> </w:t>
      </w:r>
      <w:r>
        <w:rPr>
          <w:color w:val="6E6158"/>
        </w:rPr>
        <w:t>school.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1997,</w:t>
      </w:r>
      <w:r>
        <w:rPr>
          <w:color w:val="6E6158"/>
          <w:spacing w:val="29"/>
        </w:rPr>
        <w:t> </w:t>
      </w:r>
      <w:r>
        <w:rPr>
          <w:color w:val="6E6158"/>
        </w:rPr>
        <w:t>he</w:t>
      </w:r>
      <w:r>
        <w:rPr>
          <w:color w:val="6E6158"/>
          <w:spacing w:val="29"/>
        </w:rPr>
        <w:t> </w:t>
      </w:r>
      <w:r>
        <w:rPr>
          <w:color w:val="6E6158"/>
        </w:rPr>
        <w:t>joined</w:t>
      </w:r>
      <w:r>
        <w:rPr>
          <w:color w:val="6E6158"/>
          <w:spacing w:val="29"/>
        </w:rPr>
        <w:t> </w:t>
      </w:r>
      <w:r>
        <w:rPr>
          <w:color w:val="6E6158"/>
        </w:rPr>
        <w:t>a</w:t>
      </w:r>
      <w:r>
        <w:rPr>
          <w:color w:val="6E6158"/>
          <w:spacing w:val="29"/>
        </w:rPr>
        <w:t> </w:t>
      </w:r>
      <w:r>
        <w:rPr>
          <w:color w:val="6E6158"/>
        </w:rPr>
        <w:t>large</w:t>
      </w:r>
      <w:r>
        <w:rPr>
          <w:color w:val="6E6158"/>
          <w:spacing w:val="29"/>
        </w:rPr>
        <w:t> </w:t>
      </w:r>
      <w:r>
        <w:rPr>
          <w:color w:val="6E6158"/>
        </w:rPr>
        <w:t>regional</w:t>
      </w:r>
      <w:r>
        <w:rPr>
          <w:color w:val="6E6158"/>
          <w:spacing w:val="29"/>
        </w:rPr>
        <w:t> </w:t>
      </w:r>
      <w:r>
        <w:rPr>
          <w:color w:val="6E6158"/>
        </w:rPr>
        <w:t>general</w:t>
      </w:r>
      <w:r>
        <w:rPr>
          <w:color w:val="6E6158"/>
          <w:spacing w:val="29"/>
        </w:rPr>
        <w:t> </w:t>
      </w:r>
      <w:r>
        <w:rPr>
          <w:color w:val="6E6158"/>
        </w:rPr>
        <w:t>contractor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developer</w:t>
      </w:r>
      <w:r>
        <w:rPr>
          <w:color w:val="6E6158"/>
          <w:spacing w:val="29"/>
        </w:rPr>
        <w:t> </w:t>
      </w:r>
      <w:r>
        <w:rPr>
          <w:color w:val="6E6158"/>
        </w:rPr>
        <w:t>as</w:t>
      </w:r>
      <w:r>
        <w:rPr>
          <w:color w:val="6E6158"/>
          <w:spacing w:val="29"/>
        </w:rPr>
        <w:t> </w:t>
      </w:r>
      <w:r>
        <w:rPr>
          <w:color w:val="6E6158"/>
        </w:rPr>
        <w:t>general</w:t>
      </w:r>
    </w:p>
    <w:p>
      <w:pPr>
        <w:pStyle w:val="BodyText"/>
        <w:spacing w:line="292" w:lineRule="auto"/>
        <w:ind w:right="153"/>
      </w:pPr>
      <w:r>
        <w:rPr>
          <w:color w:val="6E6158"/>
        </w:rPr>
        <w:t>counsel, where he helped expand and grow its operations and gained firsthand experience </w:t>
      </w:r>
      <w:r>
        <w:rPr>
          <w:color w:val="6E6158"/>
        </w:rPr>
        <w:t>with</w:t>
      </w:r>
      <w:r>
        <w:rPr>
          <w:color w:val="6E6158"/>
          <w:spacing w:val="40"/>
        </w:rPr>
        <w:t> </w:t>
      </w:r>
      <w:r>
        <w:rPr>
          <w:color w:val="6E6158"/>
        </w:rPr>
        <w:t>the legal and business issues faced by operating companies. In 2008, he returned to the private</w:t>
      </w:r>
      <w:r>
        <w:rPr>
          <w:color w:val="6E6158"/>
          <w:spacing w:val="40"/>
        </w:rPr>
        <w:t> </w:t>
      </w:r>
      <w:r>
        <w:rPr>
          <w:color w:val="6E6158"/>
        </w:rPr>
        <w:t>practice of law.</w:t>
      </w:r>
    </w:p>
    <w:p>
      <w:pPr>
        <w:pStyle w:val="BodyText"/>
        <w:spacing w:line="292" w:lineRule="auto" w:before="196"/>
        <w:ind w:right="153"/>
      </w:pPr>
      <w:r>
        <w:rPr>
          <w:color w:val="6E6158"/>
        </w:rPr>
        <w:t>Committed to serving the legal community, as well as his clients, Brett previously served as a</w:t>
      </w:r>
      <w:r>
        <w:rPr>
          <w:color w:val="6E6158"/>
          <w:spacing w:val="40"/>
        </w:rPr>
        <w:t> </w:t>
      </w:r>
      <w:r>
        <w:rPr>
          <w:color w:val="6E6158"/>
        </w:rPr>
        <w:t>member of the Executive Committee of the Washington State Bar Association Real Property,</w:t>
      </w:r>
      <w:r>
        <w:rPr>
          <w:color w:val="6E6158"/>
          <w:spacing w:val="40"/>
        </w:rPr>
        <w:t> </w:t>
      </w:r>
      <w:r>
        <w:rPr>
          <w:color w:val="6E6158"/>
        </w:rPr>
        <w:t>Probate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Trust</w:t>
      </w:r>
      <w:r>
        <w:rPr>
          <w:color w:val="6E6158"/>
          <w:spacing w:val="14"/>
        </w:rPr>
        <w:t> </w:t>
      </w:r>
      <w:r>
        <w:rPr>
          <w:color w:val="6E6158"/>
        </w:rPr>
        <w:t>Section,</w:t>
      </w:r>
      <w:r>
        <w:rPr>
          <w:color w:val="6E6158"/>
          <w:spacing w:val="14"/>
        </w:rPr>
        <w:t> </w:t>
      </w:r>
      <w:r>
        <w:rPr>
          <w:color w:val="6E6158"/>
        </w:rPr>
        <w:t>along</w:t>
      </w:r>
      <w:r>
        <w:rPr>
          <w:color w:val="6E6158"/>
          <w:spacing w:val="14"/>
        </w:rPr>
        <w:t> </w:t>
      </w:r>
      <w:r>
        <w:rPr>
          <w:color w:val="6E6158"/>
        </w:rPr>
        <w:t>with</w:t>
      </w:r>
      <w:r>
        <w:rPr>
          <w:color w:val="6E6158"/>
          <w:spacing w:val="14"/>
        </w:rPr>
        <w:t> </w:t>
      </w:r>
      <w:r>
        <w:rPr>
          <w:color w:val="6E6158"/>
        </w:rPr>
        <w:t>having</w:t>
      </w:r>
      <w:r>
        <w:rPr>
          <w:color w:val="6E6158"/>
          <w:spacing w:val="14"/>
        </w:rPr>
        <w:t> </w:t>
      </w:r>
      <w:r>
        <w:rPr>
          <w:color w:val="6E6158"/>
        </w:rPr>
        <w:t>served</w:t>
      </w:r>
      <w:r>
        <w:rPr>
          <w:color w:val="6E6158"/>
          <w:spacing w:val="14"/>
        </w:rPr>
        <w:t> </w:t>
      </w:r>
      <w:r>
        <w:rPr>
          <w:color w:val="6E6158"/>
        </w:rPr>
        <w:t>on</w:t>
      </w:r>
      <w:r>
        <w:rPr>
          <w:color w:val="6E6158"/>
          <w:spacing w:val="14"/>
        </w:rPr>
        <w:t> </w:t>
      </w:r>
      <w:r>
        <w:rPr>
          <w:color w:val="6E6158"/>
        </w:rPr>
        <w:t>several</w:t>
      </w:r>
      <w:r>
        <w:rPr>
          <w:color w:val="6E6158"/>
          <w:spacing w:val="14"/>
        </w:rPr>
        <w:t> </w:t>
      </w:r>
      <w:r>
        <w:rPr>
          <w:color w:val="6E6158"/>
        </w:rPr>
        <w:t>non-profit</w:t>
      </w:r>
      <w:r>
        <w:rPr>
          <w:color w:val="6E6158"/>
          <w:spacing w:val="14"/>
        </w:rPr>
        <w:t> </w:t>
      </w:r>
      <w:r>
        <w:rPr>
          <w:color w:val="6E6158"/>
        </w:rPr>
        <w:t>boards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</w:rPr>
        <w:t>Spokane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2" w:lineRule="auto" w:before="83"/>
        <w:ind w:right="355"/>
      </w:pPr>
      <w:r>
        <w:rPr>
          <w:color w:val="6E6158"/>
        </w:rPr>
        <w:t>area. He frequently lectures to groups of attorneys and business advisors in areas of real estate</w:t>
      </w:r>
      <w:r>
        <w:rPr>
          <w:color w:val="6E6158"/>
          <w:spacing w:val="40"/>
        </w:rPr>
        <w:t> </w:t>
      </w:r>
      <w:r>
        <w:rPr>
          <w:color w:val="6E6158"/>
        </w:rPr>
        <w:t>and business law.</w:t>
      </w:r>
    </w:p>
    <w:p>
      <w:pPr>
        <w:pStyle w:val="BodyText"/>
        <w:spacing w:line="292" w:lineRule="auto" w:before="205"/>
        <w:ind w:right="355"/>
      </w:pPr>
      <w:r>
        <w:rPr>
          <w:color w:val="6E6158"/>
        </w:rPr>
        <w:t>In his spare time, Brett enjoys the many recreational opportunities found in Eastern Washington,</w:t>
      </w:r>
      <w:r>
        <w:rPr>
          <w:color w:val="6E6158"/>
          <w:spacing w:val="40"/>
        </w:rPr>
        <w:t> </w:t>
      </w:r>
      <w:r>
        <w:rPr>
          <w:color w:val="6E6158"/>
        </w:rPr>
        <w:t>North Idaho, and British Columbia, including sailing, fly fishing, and skiing.</w:t>
      </w:r>
    </w:p>
    <w:p>
      <w:pPr>
        <w:pStyle w:val="Heading1"/>
        <w:spacing w:before="162"/>
      </w:pPr>
      <w:r>
        <w:rPr>
          <w:color w:val="FF8100"/>
          <w:spacing w:val="-2"/>
        </w:rPr>
        <w:t>EDUCATION</w:t>
      </w:r>
    </w:p>
    <w:p>
      <w:pPr>
        <w:pStyle w:val="BodyText"/>
        <w:spacing w:before="18"/>
        <w:ind w:left="0"/>
        <w:rPr>
          <w:b/>
        </w:rPr>
      </w:pPr>
    </w:p>
    <w:p>
      <w:pPr>
        <w:pStyle w:val="BodyText"/>
        <w:rPr>
          <w:i/>
          <w:sz w:val="20"/>
        </w:rPr>
      </w:pPr>
      <w:r>
        <w:rPr>
          <w:color w:val="6E6158"/>
        </w:rPr>
        <w:t>J.D.,</w:t>
      </w:r>
      <w:r>
        <w:rPr>
          <w:color w:val="6E6158"/>
          <w:spacing w:val="8"/>
        </w:rPr>
        <w:t> </w:t>
      </w:r>
      <w:r>
        <w:rPr>
          <w:color w:val="6E6158"/>
        </w:rPr>
        <w:t>Gonzaga</w:t>
      </w:r>
      <w:r>
        <w:rPr>
          <w:color w:val="6E6158"/>
          <w:spacing w:val="9"/>
        </w:rPr>
        <w:t> </w:t>
      </w:r>
      <w:r>
        <w:rPr>
          <w:color w:val="6E6158"/>
        </w:rPr>
        <w:t>University</w:t>
      </w:r>
      <w:r>
        <w:rPr>
          <w:color w:val="6E6158"/>
          <w:spacing w:val="8"/>
        </w:rPr>
        <w:t> </w:t>
      </w:r>
      <w:r>
        <w:rPr>
          <w:color w:val="6E6158"/>
        </w:rPr>
        <w:t>School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Law,</w:t>
      </w:r>
      <w:r>
        <w:rPr>
          <w:color w:val="6E6158"/>
          <w:spacing w:val="1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5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172"/>
      </w:pPr>
      <w:r>
        <w:rPr>
          <w:color w:val="6E6158"/>
        </w:rPr>
        <w:t>B.A.,</w:t>
      </w:r>
      <w:r>
        <w:rPr>
          <w:color w:val="6E6158"/>
          <w:spacing w:val="10"/>
        </w:rPr>
        <w:t> </w:t>
      </w:r>
      <w:r>
        <w:rPr>
          <w:color w:val="6E6158"/>
        </w:rPr>
        <w:t>University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Washington</w:t>
      </w:r>
    </w:p>
    <w:p>
      <w:pPr>
        <w:pStyle w:val="BodyText"/>
        <w:spacing w:before="17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0" w:lineRule="auto"/>
        <w:ind w:right="7164"/>
      </w:pPr>
      <w:r>
        <w:rPr>
          <w:color w:val="6E6158"/>
        </w:rPr>
        <w:t>Business &amp; </w:t>
      </w:r>
      <w:r>
        <w:rPr>
          <w:color w:val="6E6158"/>
        </w:rPr>
        <w:t>Finance Real Estate</w:t>
      </w:r>
    </w:p>
    <w:p>
      <w:pPr>
        <w:pStyle w:val="BodyText"/>
        <w:spacing w:line="427" w:lineRule="auto"/>
        <w:ind w:right="5242"/>
      </w:pPr>
      <w:r>
        <w:rPr>
          <w:color w:val="6E6158"/>
        </w:rPr>
        <w:t>Emerging Businesses &amp; </w:t>
      </w:r>
      <w:r>
        <w:rPr>
          <w:color w:val="6E6158"/>
        </w:rPr>
        <w:t>Technologies Mergers &amp; Acquisitions</w:t>
      </w:r>
    </w:p>
    <w:p>
      <w:pPr>
        <w:pStyle w:val="BodyText"/>
        <w:spacing w:line="226" w:lineRule="exact"/>
      </w:pPr>
      <w:r>
        <w:rPr>
          <w:color w:val="6E6158"/>
        </w:rPr>
        <w:t>General</w:t>
      </w:r>
      <w:r>
        <w:rPr>
          <w:color w:val="6E6158"/>
          <w:spacing w:val="16"/>
        </w:rPr>
        <w:t> </w:t>
      </w:r>
      <w:r>
        <w:rPr>
          <w:color w:val="6E6158"/>
        </w:rPr>
        <w:t>Counsel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Services</w:t>
      </w:r>
    </w:p>
    <w:p>
      <w:pPr>
        <w:pStyle w:val="BodyText"/>
        <w:spacing w:before="162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292" w:lineRule="auto"/>
      </w:pPr>
      <w:r>
        <w:rPr>
          <w:color w:val="6E6158"/>
        </w:rPr>
        <w:t>Author, “</w:t>
      </w:r>
      <w:hyperlink r:id="rId11">
        <w:r>
          <w:rPr>
            <w:color w:val="F5821F"/>
          </w:rPr>
          <w:t>Washington State: Default and Enforcement – Key Legal Considerations for Protecting</w:t>
        </w:r>
      </w:hyperlink>
      <w:r>
        <w:rPr>
          <w:color w:val="F5821F"/>
        </w:rPr>
        <w:t> </w:t>
      </w:r>
      <w:hyperlink r:id="rId11">
        <w:r>
          <w:rPr>
            <w:color w:val="F5821F"/>
          </w:rPr>
          <w:t>Lenders’ Interests</w:t>
        </w:r>
      </w:hyperlink>
      <w:r>
        <w:rPr>
          <w:color w:val="6E6158"/>
        </w:rPr>
        <w:t>,” Fennemore Blog, April 10, 2025</w:t>
      </w:r>
    </w:p>
    <w:p>
      <w:pPr>
        <w:pStyle w:val="BodyText"/>
        <w:spacing w:line="292" w:lineRule="auto" w:before="132"/>
        <w:ind w:right="273"/>
      </w:pPr>
      <w:r>
        <w:rPr>
          <w:color w:val="6E6158"/>
        </w:rPr>
        <w:t>Author, “</w:t>
      </w:r>
      <w:hyperlink r:id="rId12">
        <w:r>
          <w:rPr>
            <w:color w:val="F5821F"/>
          </w:rPr>
          <w:t>Tips on How to Avoid Surprise Tax Liabilities When Transferring Business Ownership Control</w:t>
        </w:r>
      </w:hyperlink>
      <w:r>
        <w:rPr>
          <w:color w:val="F5821F"/>
          <w:spacing w:val="40"/>
        </w:rPr>
        <w:t> </w:t>
      </w:r>
      <w:hyperlink r:id="rId12">
        <w:r>
          <w:rPr>
            <w:color w:val="F5821F"/>
          </w:rPr>
          <w:t>in Washington State and Facts About Real Estate Excise Tax on Controlling Interest Transfers</w:t>
        </w:r>
      </w:hyperlink>
      <w:r>
        <w:rPr>
          <w:color w:val="6E6158"/>
        </w:rPr>
        <w:t>,” Fennemore Blog, February 12, 2025</w:t>
      </w:r>
    </w:p>
    <w:p>
      <w:pPr>
        <w:pStyle w:val="BodyText"/>
        <w:spacing w:line="292" w:lineRule="auto" w:before="132"/>
      </w:pPr>
      <w:r>
        <w:rPr>
          <w:color w:val="6E6158"/>
        </w:rPr>
        <w:t>Co-Author, “</w:t>
      </w:r>
      <w:hyperlink r:id="rId13">
        <w:r>
          <w:rPr>
            <w:color w:val="F5821F"/>
          </w:rPr>
          <w:t>Transfer on Death Deed in Washington State: What It Is and How It Works,”</w:t>
        </w:r>
      </w:hyperlink>
      <w:r>
        <w:rPr>
          <w:color w:val="F5821F"/>
        </w:rPr>
        <w:t> </w:t>
      </w:r>
      <w:r>
        <w:rPr>
          <w:color w:val="6E6158"/>
        </w:rPr>
        <w:t>Firm Publication, July 6, 2023</w:t>
      </w:r>
    </w:p>
    <w:p>
      <w:pPr>
        <w:pStyle w:val="BodyText"/>
        <w:spacing w:line="420" w:lineRule="auto" w:before="123"/>
        <w:ind w:right="273"/>
      </w:pPr>
      <w:r>
        <w:rPr>
          <w:color w:val="6E6158"/>
        </w:rPr>
        <w:t>Co-Author, “</w:t>
      </w:r>
      <w:hyperlink r:id="rId14">
        <w:r>
          <w:rPr>
            <w:color w:val="F5821F"/>
          </w:rPr>
          <w:t>Danger Ahead: Transferring Real Estate into a Trust</w:t>
        </w:r>
      </w:hyperlink>
      <w:r>
        <w:rPr>
          <w:color w:val="6E6158"/>
        </w:rPr>
        <w:t>,” Firm Publication, June 28, 2023 Co-Author, “</w:t>
      </w:r>
      <w:hyperlink r:id="rId15">
        <w:r>
          <w:rPr>
            <w:color w:val="F5821F"/>
          </w:rPr>
          <w:t>When Should I Use a Quit Claim Deed?”</w:t>
        </w:r>
      </w:hyperlink>
      <w:r>
        <w:rPr>
          <w:color w:val="F5821F"/>
        </w:rPr>
        <w:t> </w:t>
      </w:r>
      <w:r>
        <w:rPr>
          <w:color w:val="6E6158"/>
        </w:rPr>
        <w:t>Firm Publication, June 28, 2023</w:t>
      </w:r>
    </w:p>
    <w:p>
      <w:pPr>
        <w:pStyle w:val="BodyText"/>
        <w:spacing w:line="292" w:lineRule="auto" w:before="7"/>
      </w:pPr>
      <w:r>
        <w:rPr>
          <w:color w:val="6E6158"/>
        </w:rPr>
        <w:t>Co-Author, “</w:t>
      </w:r>
      <w:hyperlink r:id="rId16">
        <w:r>
          <w:rPr>
            <w:color w:val="F5821F"/>
          </w:rPr>
          <w:t>I Sold My Property on Contract and The Buyer Isn’t Paying. What Can I Do? Exploring</w:t>
        </w:r>
      </w:hyperlink>
      <w:r>
        <w:rPr>
          <w:color w:val="F5821F"/>
          <w:spacing w:val="40"/>
        </w:rPr>
        <w:t> </w:t>
      </w:r>
      <w:hyperlink r:id="rId16">
        <w:r>
          <w:rPr>
            <w:color w:val="F5821F"/>
          </w:rPr>
          <w:t>Options for Defaults on Seller Financing</w:t>
        </w:r>
      </w:hyperlink>
      <w:r>
        <w:rPr>
          <w:color w:val="6E6158"/>
        </w:rPr>
        <w:t>.” Firm Publication, June 3, 2023</w:t>
      </w:r>
    </w:p>
    <w:p>
      <w:pPr>
        <w:pStyle w:val="BodyText"/>
        <w:spacing w:line="292" w:lineRule="auto" w:before="123"/>
      </w:pPr>
      <w:r>
        <w:rPr>
          <w:color w:val="6E6158"/>
        </w:rPr>
        <w:t>Co-Author, “</w:t>
      </w:r>
      <w:hyperlink r:id="rId17">
        <w:r>
          <w:rPr>
            <w:color w:val="F5821F"/>
          </w:rPr>
          <w:t>Navigating Probate in Washington State: A Guide for the Surviving Spouse</w:t>
        </w:r>
      </w:hyperlink>
      <w:r>
        <w:rPr>
          <w:color w:val="6E6158"/>
        </w:rPr>
        <w:t>,” </w:t>
      </w:r>
      <w:r>
        <w:rPr>
          <w:color w:val="6E6158"/>
        </w:rPr>
        <w:t>Firm Publication, May 30, 2023</w:t>
      </w:r>
    </w:p>
    <w:p>
      <w:pPr>
        <w:pStyle w:val="BodyText"/>
        <w:spacing w:line="292" w:lineRule="auto" w:before="131"/>
        <w:ind w:right="287"/>
      </w:pPr>
      <w:r>
        <w:rPr>
          <w:color w:val="6E6158"/>
        </w:rPr>
        <w:t>Co-Author, “</w:t>
      </w:r>
      <w:hyperlink r:id="rId18">
        <w:r>
          <w:rPr>
            <w:color w:val="F5821F"/>
          </w:rPr>
          <w:t>Washington Home Sellers Must Make Required Disclosures</w:t>
        </w:r>
      </w:hyperlink>
      <w:r>
        <w:rPr>
          <w:color w:val="6E6158"/>
        </w:rPr>
        <w:t>,” Firm Publication, May 21,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line="292" w:lineRule="auto" w:before="124"/>
      </w:pPr>
      <w:r>
        <w:rPr>
          <w:color w:val="6E6158"/>
        </w:rPr>
        <w:t>Co-Author, “</w:t>
      </w:r>
      <w:hyperlink r:id="rId19">
        <w:r>
          <w:rPr>
            <w:color w:val="F5821F"/>
          </w:rPr>
          <w:t>Top Five Things to Know About Shared Driveway Easements</w:t>
        </w:r>
      </w:hyperlink>
      <w:r>
        <w:rPr>
          <w:color w:val="6E6158"/>
        </w:rPr>
        <w:t>,” Firm Publication, December 16, 2022</w:t>
      </w:r>
    </w:p>
    <w:p>
      <w:pPr>
        <w:pStyle w:val="BodyText"/>
        <w:spacing w:line="420" w:lineRule="auto" w:before="131"/>
        <w:ind w:right="153"/>
      </w:pPr>
      <w:r>
        <w:rPr>
          <w:color w:val="6E6158"/>
        </w:rPr>
        <w:t>Co-Author, “</w:t>
      </w:r>
      <w:hyperlink r:id="rId20">
        <w:r>
          <w:rPr>
            <w:color w:val="F5821F"/>
          </w:rPr>
          <w:t>Easements 101: Everything You Need to Know</w:t>
        </w:r>
      </w:hyperlink>
      <w:r>
        <w:rPr>
          <w:color w:val="6E6158"/>
        </w:rPr>
        <w:t>,” Firm Publication, December 15, 2022 Co-Author,</w:t>
      </w:r>
      <w:r>
        <w:rPr>
          <w:color w:val="6E6158"/>
          <w:spacing w:val="34"/>
        </w:rPr>
        <w:t> </w:t>
      </w:r>
      <w:r>
        <w:rPr>
          <w:color w:val="6E6158"/>
        </w:rPr>
        <w:t>“</w:t>
      </w:r>
      <w:hyperlink r:id="rId21">
        <w:r>
          <w:rPr>
            <w:color w:val="F5821F"/>
          </w:rPr>
          <w:t>Idaho</w:t>
        </w:r>
        <w:r>
          <w:rPr>
            <w:color w:val="F5821F"/>
            <w:spacing w:val="34"/>
          </w:rPr>
          <w:t> </w:t>
        </w:r>
        <w:r>
          <w:rPr>
            <w:color w:val="F5821F"/>
          </w:rPr>
          <w:t>Legislature</w:t>
        </w:r>
        <w:r>
          <w:rPr>
            <w:color w:val="F5821F"/>
            <w:spacing w:val="34"/>
          </w:rPr>
          <w:t> </w:t>
        </w:r>
        <w:r>
          <w:rPr>
            <w:color w:val="F5821F"/>
          </w:rPr>
          <w:t>Acts</w:t>
        </w:r>
        <w:r>
          <w:rPr>
            <w:color w:val="F5821F"/>
            <w:spacing w:val="34"/>
          </w:rPr>
          <w:t> </w:t>
        </w:r>
        <w:r>
          <w:rPr>
            <w:color w:val="F5821F"/>
          </w:rPr>
          <w:t>on</w:t>
        </w:r>
        <w:r>
          <w:rPr>
            <w:color w:val="F5821F"/>
            <w:spacing w:val="34"/>
          </w:rPr>
          <w:t> </w:t>
        </w:r>
        <w:r>
          <w:rPr>
            <w:color w:val="F5821F"/>
          </w:rPr>
          <w:t>Rental</w:t>
        </w:r>
        <w:r>
          <w:rPr>
            <w:color w:val="F5821F"/>
            <w:spacing w:val="34"/>
          </w:rPr>
          <w:t> </w:t>
        </w:r>
        <w:r>
          <w:rPr>
            <w:color w:val="F5821F"/>
          </w:rPr>
          <w:t>Restrictions,”</w:t>
        </w:r>
      </w:hyperlink>
      <w:r>
        <w:rPr>
          <w:color w:val="F5821F"/>
          <w:spacing w:val="34"/>
        </w:rPr>
        <w:t> </w:t>
      </w:r>
      <w:r>
        <w:rPr>
          <w:color w:val="6E6158"/>
        </w:rPr>
        <w:t>Firm</w:t>
      </w:r>
      <w:r>
        <w:rPr>
          <w:color w:val="6E6158"/>
          <w:spacing w:val="34"/>
        </w:rPr>
        <w:t> </w:t>
      </w:r>
      <w:r>
        <w:rPr>
          <w:color w:val="6E6158"/>
        </w:rPr>
        <w:t>Publication,</w:t>
      </w:r>
      <w:r>
        <w:rPr>
          <w:color w:val="6E6158"/>
          <w:spacing w:val="34"/>
        </w:rPr>
        <w:t> </w:t>
      </w:r>
      <w:r>
        <w:rPr>
          <w:color w:val="6E6158"/>
        </w:rPr>
        <w:t>October</w:t>
      </w:r>
      <w:r>
        <w:rPr>
          <w:color w:val="6E6158"/>
          <w:spacing w:val="34"/>
        </w:rPr>
        <w:t> </w:t>
      </w:r>
      <w:r>
        <w:rPr>
          <w:color w:val="6E6158"/>
        </w:rPr>
        <w:t>14,</w:t>
      </w:r>
      <w:r>
        <w:rPr>
          <w:color w:val="6E6158"/>
          <w:spacing w:val="34"/>
        </w:rPr>
        <w:t> </w:t>
      </w:r>
      <w:r>
        <w:rPr>
          <w:color w:val="6E6158"/>
        </w:rPr>
        <w:t>2022</w:t>
      </w:r>
    </w:p>
    <w:p>
      <w:pPr>
        <w:pStyle w:val="BodyText"/>
        <w:spacing w:line="302" w:lineRule="auto"/>
        <w:ind w:right="355"/>
      </w:pPr>
      <w:r>
        <w:rPr>
          <w:color w:val="6E6158"/>
        </w:rPr>
        <w:t>Co-Author, “</w:t>
      </w:r>
      <w:hyperlink r:id="rId22">
        <w:r>
          <w:rPr>
            <w:color w:val="F5821F"/>
          </w:rPr>
          <w:t>Six Things to Consider Before Putting Your Home On the Market</w:t>
        </w:r>
      </w:hyperlink>
      <w:r>
        <w:rPr>
          <w:color w:val="6E6158"/>
        </w:rPr>
        <w:t>,” Firm Publication, June 22, 2022</w:t>
      </w:r>
    </w:p>
    <w:p>
      <w:pPr>
        <w:pStyle w:val="BodyText"/>
        <w:spacing w:before="111"/>
      </w:pPr>
      <w:r>
        <w:rPr>
          <w:color w:val="6E6158"/>
        </w:rPr>
        <w:t>Co-Author,</w:t>
      </w:r>
      <w:r>
        <w:rPr>
          <w:color w:val="6E6158"/>
          <w:spacing w:val="10"/>
        </w:rPr>
        <w:t> </w:t>
      </w:r>
      <w:r>
        <w:rPr>
          <w:color w:val="6E6158"/>
        </w:rPr>
        <w:t>“</w:t>
      </w:r>
      <w:hyperlink r:id="rId23">
        <w:r>
          <w:rPr>
            <w:color w:val="F5821F"/>
          </w:rPr>
          <w:t>How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Do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I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Add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Someone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to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My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Property’s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Title?”</w:t>
        </w:r>
      </w:hyperlink>
      <w:r>
        <w:rPr>
          <w:color w:val="F5821F"/>
          <w:spacing w:val="11"/>
        </w:rPr>
        <w:t> </w:t>
      </w:r>
      <w:r>
        <w:rPr>
          <w:color w:val="6E6158"/>
        </w:rPr>
        <w:t>Firm</w:t>
      </w:r>
      <w:r>
        <w:rPr>
          <w:color w:val="6E6158"/>
          <w:spacing w:val="10"/>
        </w:rPr>
        <w:t> </w:t>
      </w:r>
      <w:r>
        <w:rPr>
          <w:color w:val="6E6158"/>
        </w:rPr>
        <w:t>Publication,</w:t>
      </w:r>
      <w:r>
        <w:rPr>
          <w:color w:val="6E6158"/>
          <w:spacing w:val="11"/>
        </w:rPr>
        <w:t> </w:t>
      </w:r>
      <w:r>
        <w:rPr>
          <w:color w:val="6E6158"/>
        </w:rPr>
        <w:t>May</w:t>
      </w:r>
      <w:r>
        <w:rPr>
          <w:color w:val="6E6158"/>
          <w:spacing w:val="10"/>
        </w:rPr>
        <w:t> </w:t>
      </w:r>
      <w:r>
        <w:rPr>
          <w:color w:val="6E6158"/>
        </w:rPr>
        <w:t>23,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line="420" w:lineRule="auto" w:before="83"/>
        <w:ind w:right="515"/>
      </w:pPr>
      <w:r>
        <w:rPr>
          <w:color w:val="6E6158"/>
        </w:rPr>
        <w:t>Co-Author, “</w:t>
      </w:r>
      <w:hyperlink r:id="rId24">
        <w:r>
          <w:rPr>
            <w:color w:val="F5821F"/>
          </w:rPr>
          <w:t>Should I Waive the Inspection Contingency?”</w:t>
        </w:r>
      </w:hyperlink>
      <w:r>
        <w:rPr>
          <w:color w:val="F5821F"/>
        </w:rPr>
        <w:t> </w:t>
      </w:r>
      <w:r>
        <w:rPr>
          <w:color w:val="6E6158"/>
        </w:rPr>
        <w:t>Firm Publication, February 15, </w:t>
      </w:r>
      <w:r>
        <w:rPr>
          <w:color w:val="6E6158"/>
        </w:rPr>
        <w:t>2022 Co-Author,</w:t>
      </w:r>
      <w:r>
        <w:rPr>
          <w:color w:val="6E6158"/>
          <w:spacing w:val="28"/>
        </w:rPr>
        <w:t> </w:t>
      </w:r>
      <w:r>
        <w:rPr>
          <w:color w:val="6E6158"/>
        </w:rPr>
        <w:t>“(</w:t>
      </w:r>
      <w:hyperlink r:id="rId25">
        <w:r>
          <w:rPr>
            <w:color w:val="F5821F"/>
          </w:rPr>
          <w:t>Video)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Should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I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DIY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My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Real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Estate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Purchase?”</w:t>
        </w:r>
      </w:hyperlink>
      <w:r>
        <w:rPr>
          <w:color w:val="F5821F"/>
          <w:spacing w:val="28"/>
        </w:rPr>
        <w:t> </w:t>
      </w:r>
      <w:r>
        <w:rPr>
          <w:color w:val="6E6158"/>
        </w:rPr>
        <w:t>Firm</w:t>
      </w:r>
      <w:r>
        <w:rPr>
          <w:color w:val="6E6158"/>
          <w:spacing w:val="28"/>
        </w:rPr>
        <w:t> </w:t>
      </w:r>
      <w:r>
        <w:rPr>
          <w:color w:val="6E6158"/>
        </w:rPr>
        <w:t>Publication,</w:t>
      </w:r>
      <w:r>
        <w:rPr>
          <w:color w:val="6E6158"/>
          <w:spacing w:val="28"/>
        </w:rPr>
        <w:t> </w:t>
      </w:r>
      <w:r>
        <w:rPr>
          <w:color w:val="6E6158"/>
        </w:rPr>
        <w:t>June</w:t>
      </w:r>
      <w:r>
        <w:rPr>
          <w:color w:val="6E6158"/>
          <w:spacing w:val="28"/>
        </w:rPr>
        <w:t> </w:t>
      </w:r>
      <w:r>
        <w:rPr>
          <w:color w:val="6E6158"/>
        </w:rPr>
        <w:t>4,</w:t>
      </w:r>
      <w:r>
        <w:rPr>
          <w:color w:val="6E6158"/>
          <w:spacing w:val="28"/>
        </w:rPr>
        <w:t> </w:t>
      </w:r>
      <w:r>
        <w:rPr>
          <w:color w:val="6E6158"/>
        </w:rPr>
        <w:t>2021</w:t>
      </w:r>
    </w:p>
    <w:p>
      <w:pPr>
        <w:pStyle w:val="BodyText"/>
        <w:spacing w:before="7"/>
      </w:pPr>
      <w:r>
        <w:rPr>
          <w:color w:val="6E6158"/>
        </w:rPr>
        <w:t>Co-Author,</w:t>
      </w:r>
      <w:r>
        <w:rPr>
          <w:color w:val="6E6158"/>
          <w:spacing w:val="10"/>
        </w:rPr>
        <w:t> </w:t>
      </w:r>
      <w:r>
        <w:rPr>
          <w:color w:val="6E6158"/>
        </w:rPr>
        <w:t>“</w:t>
      </w:r>
      <w:hyperlink r:id="rId26">
        <w:r>
          <w:rPr>
            <w:color w:val="F5821F"/>
          </w:rPr>
          <w:t>Changes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to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Washington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Real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Estate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Excise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Tax</w:t>
        </w:r>
      </w:hyperlink>
      <w:r>
        <w:rPr>
          <w:color w:val="6E6158"/>
        </w:rPr>
        <w:t>,”</w:t>
      </w:r>
      <w:r>
        <w:rPr>
          <w:color w:val="6E6158"/>
          <w:spacing w:val="11"/>
        </w:rPr>
        <w:t> </w:t>
      </w:r>
      <w:r>
        <w:rPr>
          <w:color w:val="6E6158"/>
        </w:rPr>
        <w:t>Firm</w:t>
      </w:r>
      <w:r>
        <w:rPr>
          <w:color w:val="6E6158"/>
          <w:spacing w:val="10"/>
        </w:rPr>
        <w:t> </w:t>
      </w:r>
      <w:r>
        <w:rPr>
          <w:color w:val="6E6158"/>
        </w:rPr>
        <w:t>Publication,</w:t>
      </w:r>
      <w:r>
        <w:rPr>
          <w:color w:val="6E6158"/>
          <w:spacing w:val="11"/>
        </w:rPr>
        <w:t> </w:t>
      </w:r>
      <w:r>
        <w:rPr>
          <w:color w:val="6E6158"/>
        </w:rPr>
        <w:t>January</w:t>
      </w:r>
      <w:r>
        <w:rPr>
          <w:color w:val="6E6158"/>
          <w:spacing w:val="11"/>
        </w:rPr>
        <w:t> </w:t>
      </w:r>
      <w:r>
        <w:rPr>
          <w:color w:val="6E6158"/>
        </w:rPr>
        <w:t>25,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2020</w:t>
      </w:r>
    </w:p>
    <w:p>
      <w:pPr>
        <w:pStyle w:val="BodyText"/>
        <w:spacing w:line="292" w:lineRule="auto" w:before="174"/>
      </w:pPr>
      <w:r>
        <w:rPr>
          <w:color w:val="6E6158"/>
        </w:rPr>
        <w:t>Co-Author, “</w:t>
      </w:r>
      <w:hyperlink r:id="rId27">
        <w:r>
          <w:rPr>
            <w:color w:val="F5821F"/>
          </w:rPr>
          <w:t>Startup Business Law Series: How Do I Protect My Personal Assets?”</w:t>
        </w:r>
      </w:hyperlink>
      <w:r>
        <w:rPr>
          <w:color w:val="F5821F"/>
        </w:rPr>
        <w:t> </w:t>
      </w:r>
      <w:r>
        <w:rPr>
          <w:color w:val="6E6158"/>
        </w:rPr>
        <w:t>Firm Publication,</w:t>
      </w:r>
      <w:r>
        <w:rPr>
          <w:color w:val="6E6158"/>
          <w:spacing w:val="40"/>
        </w:rPr>
        <w:t> </w:t>
      </w:r>
      <w:r>
        <w:rPr>
          <w:color w:val="6E6158"/>
        </w:rPr>
        <w:t>January 15, 2020</w:t>
      </w:r>
    </w:p>
    <w:p>
      <w:pPr>
        <w:pStyle w:val="BodyText"/>
        <w:spacing w:line="302" w:lineRule="auto" w:before="123"/>
        <w:ind w:right="153"/>
      </w:pPr>
      <w:r>
        <w:rPr>
          <w:color w:val="6E6158"/>
        </w:rPr>
        <w:t>Co-Author, “</w:t>
      </w:r>
      <w:hyperlink r:id="rId28">
        <w:r>
          <w:rPr>
            <w:color w:val="F5821F"/>
          </w:rPr>
          <w:t>Changes to LLC and Corporation Filings in Washington</w:t>
        </w:r>
      </w:hyperlink>
      <w:r>
        <w:rPr>
          <w:color w:val="6E6158"/>
        </w:rPr>
        <w:t>,” Firm Publication, </w:t>
      </w:r>
      <w:r>
        <w:rPr>
          <w:color w:val="6E6158"/>
        </w:rPr>
        <w:t>November 14, 2017</w:t>
      </w:r>
    </w:p>
    <w:p>
      <w:pPr>
        <w:pStyle w:val="BodyText"/>
        <w:spacing w:line="292" w:lineRule="auto" w:before="113"/>
      </w:pPr>
      <w:r>
        <w:rPr>
          <w:color w:val="6E6158"/>
        </w:rPr>
        <w:t>Co-Author, “</w:t>
      </w:r>
      <w:hyperlink r:id="rId29">
        <w:r>
          <w:rPr>
            <w:color w:val="F5821F"/>
          </w:rPr>
          <w:t>Service Account Cancellations, Financial Affairs and Powers of Attorney</w:t>
        </w:r>
      </w:hyperlink>
      <w:r>
        <w:rPr>
          <w:color w:val="6E6158"/>
        </w:rPr>
        <w:t>,” </w:t>
      </w:r>
      <w:r>
        <w:rPr>
          <w:color w:val="6E6158"/>
        </w:rPr>
        <w:t>Firm Publication, November 14, 2016</w:t>
      </w:r>
    </w:p>
    <w:p>
      <w:pPr>
        <w:pStyle w:val="BodyText"/>
        <w:spacing w:line="302" w:lineRule="auto" w:before="123"/>
        <w:ind w:right="355"/>
      </w:pPr>
      <w:r>
        <w:rPr>
          <w:color w:val="6E6158"/>
        </w:rPr>
        <w:t>Co-Author, “</w:t>
      </w:r>
      <w:hyperlink r:id="rId30">
        <w:r>
          <w:rPr>
            <w:color w:val="F5821F"/>
          </w:rPr>
          <w:t>Answers to 3 Common Questions About Digital Assets</w:t>
        </w:r>
      </w:hyperlink>
      <w:r>
        <w:rPr>
          <w:color w:val="6E6158"/>
        </w:rPr>
        <w:t>,” Firm Publication, January </w:t>
      </w:r>
      <w:r>
        <w:rPr>
          <w:color w:val="6E6158"/>
        </w:rPr>
        <w:t>29,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2016</w:t>
      </w:r>
    </w:p>
    <w:p>
      <w:pPr>
        <w:pStyle w:val="BodyText"/>
        <w:spacing w:line="420" w:lineRule="auto" w:before="113"/>
        <w:ind w:right="726"/>
      </w:pPr>
      <w:r>
        <w:rPr>
          <w:color w:val="6E6158"/>
        </w:rPr>
        <w:t>Co-Author,</w:t>
      </w:r>
      <w:r>
        <w:rPr>
          <w:color w:val="6E6158"/>
          <w:spacing w:val="30"/>
        </w:rPr>
        <w:t> </w:t>
      </w:r>
      <w:r>
        <w:rPr>
          <w:color w:val="6E6158"/>
        </w:rPr>
        <w:t>“</w:t>
      </w:r>
      <w:hyperlink r:id="rId31">
        <w:r>
          <w:rPr>
            <w:color w:val="F5821F"/>
          </w:rPr>
          <w:t>What</w:t>
        </w:r>
        <w:r>
          <w:rPr>
            <w:color w:val="F5821F"/>
            <w:spacing w:val="30"/>
          </w:rPr>
          <w:t> </w:t>
        </w:r>
        <w:r>
          <w:rPr>
            <w:color w:val="F5821F"/>
          </w:rPr>
          <w:t>is</w:t>
        </w:r>
        <w:r>
          <w:rPr>
            <w:color w:val="F5821F"/>
            <w:spacing w:val="30"/>
          </w:rPr>
          <w:t> </w:t>
        </w:r>
        <w:r>
          <w:rPr>
            <w:color w:val="F5821F"/>
          </w:rPr>
          <w:t>a</w:t>
        </w:r>
        <w:r>
          <w:rPr>
            <w:color w:val="F5821F"/>
            <w:spacing w:val="30"/>
          </w:rPr>
          <w:t> </w:t>
        </w:r>
        <w:r>
          <w:rPr>
            <w:color w:val="F5821F"/>
          </w:rPr>
          <w:t>Durable</w:t>
        </w:r>
        <w:r>
          <w:rPr>
            <w:color w:val="F5821F"/>
            <w:spacing w:val="30"/>
          </w:rPr>
          <w:t> </w:t>
        </w:r>
        <w:r>
          <w:rPr>
            <w:color w:val="F5821F"/>
          </w:rPr>
          <w:t>Power</w:t>
        </w:r>
        <w:r>
          <w:rPr>
            <w:color w:val="F5821F"/>
            <w:spacing w:val="30"/>
          </w:rPr>
          <w:t> </w:t>
        </w:r>
        <w:r>
          <w:rPr>
            <w:color w:val="F5821F"/>
          </w:rPr>
          <w:t>of</w:t>
        </w:r>
        <w:r>
          <w:rPr>
            <w:color w:val="F5821F"/>
            <w:spacing w:val="30"/>
          </w:rPr>
          <w:t> </w:t>
        </w:r>
        <w:r>
          <w:rPr>
            <w:color w:val="F5821F"/>
          </w:rPr>
          <w:t>Attorney</w:t>
        </w:r>
      </w:hyperlink>
      <w:r>
        <w:rPr>
          <w:color w:val="6E6158"/>
        </w:rPr>
        <w:t>?”</w:t>
      </w:r>
      <w:r>
        <w:rPr>
          <w:color w:val="6E6158"/>
          <w:spacing w:val="30"/>
        </w:rPr>
        <w:t> </w:t>
      </w:r>
      <w:r>
        <w:rPr>
          <w:color w:val="6E6158"/>
        </w:rPr>
        <w:t>Firm</w:t>
      </w:r>
      <w:r>
        <w:rPr>
          <w:color w:val="6E6158"/>
          <w:spacing w:val="30"/>
        </w:rPr>
        <w:t> </w:t>
      </w:r>
      <w:r>
        <w:rPr>
          <w:color w:val="6E6158"/>
        </w:rPr>
        <w:t>Publication,</w:t>
      </w:r>
      <w:r>
        <w:rPr>
          <w:color w:val="6E6158"/>
          <w:spacing w:val="30"/>
        </w:rPr>
        <w:t> </w:t>
      </w:r>
      <w:r>
        <w:rPr>
          <w:color w:val="6E6158"/>
        </w:rPr>
        <w:t>December</w:t>
      </w:r>
      <w:r>
        <w:rPr>
          <w:color w:val="6E6158"/>
          <w:spacing w:val="30"/>
        </w:rPr>
        <w:t> </w:t>
      </w:r>
      <w:r>
        <w:rPr>
          <w:color w:val="6E6158"/>
        </w:rPr>
        <w:t>15,</w:t>
      </w:r>
      <w:r>
        <w:rPr>
          <w:color w:val="6E6158"/>
          <w:spacing w:val="30"/>
        </w:rPr>
        <w:t> </w:t>
      </w:r>
      <w:r>
        <w:rPr>
          <w:color w:val="6E6158"/>
        </w:rPr>
        <w:t>2015 Co-Author,</w:t>
      </w:r>
      <w:r>
        <w:rPr>
          <w:color w:val="6E6158"/>
          <w:spacing w:val="27"/>
        </w:rPr>
        <w:t> </w:t>
      </w:r>
      <w:r>
        <w:rPr>
          <w:color w:val="6E6158"/>
        </w:rPr>
        <w:t>“</w:t>
      </w:r>
      <w:hyperlink r:id="rId32">
        <w:r>
          <w:rPr>
            <w:color w:val="F5821F"/>
          </w:rPr>
          <w:t>Estate</w:t>
        </w:r>
        <w:r>
          <w:rPr>
            <w:color w:val="F5821F"/>
            <w:spacing w:val="27"/>
          </w:rPr>
          <w:t> </w:t>
        </w:r>
        <w:r>
          <w:rPr>
            <w:color w:val="F5821F"/>
          </w:rPr>
          <w:t>Planning</w:t>
        </w:r>
        <w:r>
          <w:rPr>
            <w:color w:val="F5821F"/>
            <w:spacing w:val="27"/>
          </w:rPr>
          <w:t> </w:t>
        </w:r>
        <w:r>
          <w:rPr>
            <w:color w:val="F5821F"/>
          </w:rPr>
          <w:t>–</w:t>
        </w:r>
        <w:r>
          <w:rPr>
            <w:color w:val="F5821F"/>
            <w:spacing w:val="27"/>
          </w:rPr>
          <w:t> </w:t>
        </w:r>
        <w:r>
          <w:rPr>
            <w:color w:val="F5821F"/>
          </w:rPr>
          <w:t>Who</w:t>
        </w:r>
        <w:r>
          <w:rPr>
            <w:color w:val="F5821F"/>
            <w:spacing w:val="27"/>
          </w:rPr>
          <w:t> </w:t>
        </w:r>
        <w:r>
          <w:rPr>
            <w:color w:val="F5821F"/>
          </w:rPr>
          <w:t>is</w:t>
        </w:r>
        <w:r>
          <w:rPr>
            <w:color w:val="F5821F"/>
            <w:spacing w:val="27"/>
          </w:rPr>
          <w:t> </w:t>
        </w:r>
        <w:r>
          <w:rPr>
            <w:color w:val="F5821F"/>
          </w:rPr>
          <w:t>it</w:t>
        </w:r>
        <w:r>
          <w:rPr>
            <w:color w:val="F5821F"/>
            <w:spacing w:val="27"/>
          </w:rPr>
          <w:t> </w:t>
        </w:r>
        <w:r>
          <w:rPr>
            <w:color w:val="F5821F"/>
          </w:rPr>
          <w:t>Really</w:t>
        </w:r>
        <w:r>
          <w:rPr>
            <w:color w:val="F5821F"/>
            <w:spacing w:val="27"/>
          </w:rPr>
          <w:t> </w:t>
        </w:r>
        <w:r>
          <w:rPr>
            <w:color w:val="F5821F"/>
          </w:rPr>
          <w:t>For</w:t>
        </w:r>
      </w:hyperlink>
      <w:r>
        <w:rPr>
          <w:color w:val="6E6158"/>
        </w:rPr>
        <w:t>?”</w:t>
      </w:r>
      <w:r>
        <w:rPr>
          <w:color w:val="6E6158"/>
          <w:spacing w:val="27"/>
        </w:rPr>
        <w:t> </w:t>
      </w:r>
      <w:r>
        <w:rPr>
          <w:color w:val="6E6158"/>
        </w:rPr>
        <w:t>Firm</w:t>
      </w:r>
      <w:r>
        <w:rPr>
          <w:color w:val="6E6158"/>
          <w:spacing w:val="27"/>
        </w:rPr>
        <w:t> </w:t>
      </w:r>
      <w:r>
        <w:rPr>
          <w:color w:val="6E6158"/>
        </w:rPr>
        <w:t>Publication,</w:t>
      </w:r>
      <w:r>
        <w:rPr>
          <w:color w:val="6E6158"/>
          <w:spacing w:val="27"/>
        </w:rPr>
        <w:t> </w:t>
      </w:r>
      <w:r>
        <w:rPr>
          <w:color w:val="6E6158"/>
        </w:rPr>
        <w:t>September</w:t>
      </w:r>
      <w:r>
        <w:rPr>
          <w:color w:val="6E6158"/>
          <w:spacing w:val="27"/>
        </w:rPr>
        <w:t> </w:t>
      </w:r>
      <w:r>
        <w:rPr>
          <w:color w:val="6E6158"/>
        </w:rPr>
        <w:t>30,</w:t>
      </w:r>
      <w:r>
        <w:rPr>
          <w:color w:val="6E6158"/>
          <w:spacing w:val="27"/>
        </w:rPr>
        <w:t> </w:t>
      </w:r>
      <w:r>
        <w:rPr>
          <w:color w:val="6E6158"/>
        </w:rPr>
        <w:t>2015 Co-Author, “</w:t>
      </w:r>
      <w:hyperlink r:id="rId33">
        <w:r>
          <w:rPr>
            <w:color w:val="F5821F"/>
          </w:rPr>
          <w:t>HOA Rental Restrictions – Are They Valid</w:t>
        </w:r>
      </w:hyperlink>
      <w:r>
        <w:rPr>
          <w:color w:val="6E6158"/>
        </w:rPr>
        <w:t>?” Firm Publication, September 8, 2015</w:t>
      </w:r>
    </w:p>
    <w:p>
      <w:pPr>
        <w:pStyle w:val="BodyText"/>
        <w:spacing w:line="292" w:lineRule="auto" w:before="6"/>
      </w:pPr>
      <w:r>
        <w:rPr>
          <w:color w:val="6E6158"/>
        </w:rPr>
        <w:t>Co-Author, “</w:t>
      </w:r>
      <w:hyperlink r:id="rId34">
        <w:r>
          <w:rPr>
            <w:color w:val="F5821F"/>
          </w:rPr>
          <w:t>CC&amp;R Amendment – Idaho Supreme Court Favors HOA Over Homeowner</w:t>
        </w:r>
      </w:hyperlink>
      <w:r>
        <w:rPr>
          <w:color w:val="6E6158"/>
        </w:rPr>
        <w:t>,” </w:t>
      </w:r>
      <w:r>
        <w:rPr>
          <w:color w:val="6E6158"/>
        </w:rPr>
        <w:t>Firm Publication, August 31, 2015</w:t>
      </w:r>
    </w:p>
    <w:p>
      <w:pPr>
        <w:pStyle w:val="BodyText"/>
        <w:spacing w:before="123"/>
      </w:pPr>
      <w:r>
        <w:rPr>
          <w:color w:val="6E6158"/>
        </w:rPr>
        <w:t>Co-Author,</w:t>
      </w:r>
      <w:r>
        <w:rPr>
          <w:color w:val="6E6158"/>
          <w:spacing w:val="11"/>
        </w:rPr>
        <w:t> </w:t>
      </w:r>
      <w:r>
        <w:rPr>
          <w:color w:val="6E6158"/>
        </w:rPr>
        <w:t>“</w:t>
      </w:r>
      <w:hyperlink r:id="rId35">
        <w:r>
          <w:rPr>
            <w:color w:val="F5821F"/>
          </w:rPr>
          <w:t>Subchapter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S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Election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for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a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Single-Member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LLC</w:t>
        </w:r>
      </w:hyperlink>
      <w:r>
        <w:rPr>
          <w:color w:val="6E6158"/>
        </w:rPr>
        <w:t>,”</w:t>
      </w:r>
      <w:r>
        <w:rPr>
          <w:color w:val="6E6158"/>
          <w:spacing w:val="12"/>
        </w:rPr>
        <w:t> </w:t>
      </w:r>
      <w:r>
        <w:rPr>
          <w:color w:val="6E6158"/>
        </w:rPr>
        <w:t>Firm</w:t>
      </w:r>
      <w:r>
        <w:rPr>
          <w:color w:val="6E6158"/>
          <w:spacing w:val="12"/>
        </w:rPr>
        <w:t> </w:t>
      </w:r>
      <w:r>
        <w:rPr>
          <w:color w:val="6E6158"/>
        </w:rPr>
        <w:t>Publication,</w:t>
      </w:r>
      <w:r>
        <w:rPr>
          <w:color w:val="6E6158"/>
          <w:spacing w:val="12"/>
        </w:rPr>
        <w:t> </w:t>
      </w:r>
      <w:r>
        <w:rPr>
          <w:color w:val="6E6158"/>
        </w:rPr>
        <w:t>July</w:t>
      </w:r>
      <w:r>
        <w:rPr>
          <w:color w:val="6E6158"/>
          <w:spacing w:val="12"/>
        </w:rPr>
        <w:t> </w:t>
      </w:r>
      <w:r>
        <w:rPr>
          <w:color w:val="6E6158"/>
        </w:rPr>
        <w:t>23,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2015</w:t>
      </w:r>
    </w:p>
    <w:p>
      <w:pPr>
        <w:pStyle w:val="BodyText"/>
        <w:spacing w:before="182"/>
      </w:pPr>
      <w:r>
        <w:rPr>
          <w:color w:val="6E6158"/>
        </w:rPr>
        <w:t>Co-Author,</w:t>
      </w:r>
      <w:r>
        <w:rPr>
          <w:color w:val="6E6158"/>
          <w:spacing w:val="8"/>
        </w:rPr>
        <w:t> </w:t>
      </w:r>
      <w:r>
        <w:rPr>
          <w:color w:val="6E6158"/>
        </w:rPr>
        <w:t>“</w:t>
      </w:r>
      <w:hyperlink r:id="rId36">
        <w:r>
          <w:rPr>
            <w:color w:val="F5821F"/>
          </w:rPr>
          <w:t>Estate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Planning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–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Do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I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Need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It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If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I’m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Not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Wealthy</w:t>
        </w:r>
      </w:hyperlink>
      <w:r>
        <w:rPr>
          <w:color w:val="6E6158"/>
        </w:rPr>
        <w:t>?”</w:t>
      </w:r>
      <w:r>
        <w:rPr>
          <w:color w:val="6E6158"/>
          <w:spacing w:val="9"/>
        </w:rPr>
        <w:t> </w:t>
      </w:r>
      <w:r>
        <w:rPr>
          <w:color w:val="6E6158"/>
        </w:rPr>
        <w:t>Firm</w:t>
      </w:r>
      <w:r>
        <w:rPr>
          <w:color w:val="6E6158"/>
          <w:spacing w:val="9"/>
        </w:rPr>
        <w:t> </w:t>
      </w:r>
      <w:r>
        <w:rPr>
          <w:color w:val="6E6158"/>
        </w:rPr>
        <w:t>Publication,</w:t>
      </w:r>
      <w:r>
        <w:rPr>
          <w:color w:val="6E6158"/>
          <w:spacing w:val="9"/>
        </w:rPr>
        <w:t> </w:t>
      </w:r>
      <w:r>
        <w:rPr>
          <w:color w:val="6E6158"/>
        </w:rPr>
        <w:t>January</w:t>
      </w:r>
      <w:r>
        <w:rPr>
          <w:color w:val="6E6158"/>
          <w:spacing w:val="9"/>
        </w:rPr>
        <w:t> </w:t>
      </w:r>
      <w:r>
        <w:rPr>
          <w:color w:val="6E6158"/>
        </w:rPr>
        <w:t>29,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2015</w:t>
      </w:r>
    </w:p>
    <w:p>
      <w:pPr>
        <w:pStyle w:val="BodyText"/>
        <w:spacing w:line="292" w:lineRule="auto" w:before="174"/>
        <w:ind w:right="287"/>
      </w:pPr>
      <w:r>
        <w:rPr>
          <w:color w:val="6E6158"/>
        </w:rPr>
        <w:t>Co-Author, “</w:t>
      </w:r>
      <w:hyperlink r:id="rId37">
        <w:r>
          <w:rPr>
            <w:color w:val="F5821F"/>
          </w:rPr>
          <w:t>Condominium Resale Certificate – Washington &amp; Idaho</w:t>
        </w:r>
      </w:hyperlink>
      <w:r>
        <w:rPr>
          <w:color w:val="6E6158"/>
        </w:rPr>
        <w:t>,” Firm Publication, </w:t>
      </w:r>
      <w:r>
        <w:rPr>
          <w:color w:val="6E6158"/>
        </w:rPr>
        <w:t>January 30, 2014</w:t>
      </w:r>
    </w:p>
    <w:p>
      <w:pPr>
        <w:pStyle w:val="BodyText"/>
        <w:spacing w:before="112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7" w:lineRule="auto"/>
        <w:ind w:right="726"/>
      </w:pPr>
      <w:r>
        <w:rPr>
          <w:color w:val="6E6158"/>
        </w:rPr>
        <w:t>Member, Real Property, Probate and Trust Section, Washington State Bar </w:t>
      </w:r>
      <w:r>
        <w:rPr>
          <w:color w:val="6E6158"/>
        </w:rPr>
        <w:t>Association Member, Spokane County Bar Association</w:t>
      </w:r>
    </w:p>
    <w:p>
      <w:pPr>
        <w:pStyle w:val="Heading1"/>
        <w:spacing w:before="276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</w:pPr>
      <w:r>
        <w:rPr>
          <w:color w:val="6E6158"/>
          <w:spacing w:val="-2"/>
        </w:rPr>
        <w:t>Washington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for</w:t>
      </w:r>
      <w:r>
        <w:rPr>
          <w:color w:val="6E6158"/>
          <w:spacing w:val="11"/>
        </w:rPr>
        <w:t> </w:t>
      </w:r>
      <w:r>
        <w:rPr>
          <w:color w:val="6E6158"/>
        </w:rPr>
        <w:t>Eastern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Washington</w:t>
      </w:r>
    </w:p>
    <w:p>
      <w:pPr>
        <w:pStyle w:val="BodyText"/>
        <w:spacing w:before="182"/>
      </w:pP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District</w:t>
      </w:r>
      <w:r>
        <w:rPr>
          <w:color w:val="6E6158"/>
          <w:spacing w:val="9"/>
        </w:rPr>
        <w:t> </w:t>
      </w:r>
      <w:r>
        <w:rPr>
          <w:color w:val="6E6158"/>
        </w:rPr>
        <w:t>Court</w:t>
      </w:r>
      <w:r>
        <w:rPr>
          <w:color w:val="6E6158"/>
          <w:spacing w:val="9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Western</w:t>
      </w:r>
      <w:r>
        <w:rPr>
          <w:color w:val="6E6158"/>
          <w:spacing w:val="9"/>
        </w:rPr>
        <w:t> </w:t>
      </w:r>
      <w:r>
        <w:rPr>
          <w:color w:val="6E6158"/>
        </w:rPr>
        <w:t>District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Washington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spokane/" TargetMode="External"/><Relationship Id="rId10" Type="http://schemas.openxmlformats.org/officeDocument/2006/relationships/hyperlink" Target="mailto:bsullivan@fennemorelaw.com" TargetMode="External"/><Relationship Id="rId11" Type="http://schemas.openxmlformats.org/officeDocument/2006/relationships/hyperlink" Target="https://www.fennemorelaw.com/washington-state-default-and-enforcement-key-legal-considerations-for-protecting-lenders-interests/" TargetMode="External"/><Relationship Id="rId12" Type="http://schemas.openxmlformats.org/officeDocument/2006/relationships/hyperlink" Target="https://www.fennemorelaw.com/tips-on-how-to-avoid-surprise-tax-liabilities-when-transferring-business-ownership-control-in-washington-state-and-facts-about-real-estate-excise-tax-on-controlling-interest-transfers/" TargetMode="External"/><Relationship Id="rId13" Type="http://schemas.openxmlformats.org/officeDocument/2006/relationships/hyperlink" Target="https://www.fennemorelaw.com/transfer-on-death-deed-in-washington-state-what-it-is-and-how-it-works/" TargetMode="External"/><Relationship Id="rId14" Type="http://schemas.openxmlformats.org/officeDocument/2006/relationships/hyperlink" Target="https://www.fennemorelaw.com/danger-ahead-transferring-real-estate-trust/" TargetMode="External"/><Relationship Id="rId15" Type="http://schemas.openxmlformats.org/officeDocument/2006/relationships/hyperlink" Target="https://www.fennemorelaw.com/when-should-i-use-a-quit-claim-deed/" TargetMode="External"/><Relationship Id="rId16" Type="http://schemas.openxmlformats.org/officeDocument/2006/relationships/hyperlink" Target="https://www.fennemorelaw.com/i-sold-my-property-on-contract-and-the-buyer-isnt-paying-what-can-i-do-exploring-options-for-defaults-on-seller-financing/" TargetMode="External"/><Relationship Id="rId17" Type="http://schemas.openxmlformats.org/officeDocument/2006/relationships/hyperlink" Target="https://www.fennemorelaw.com/navigating-probate-in-washington-guide-for-surviving-spouse/" TargetMode="External"/><Relationship Id="rId18" Type="http://schemas.openxmlformats.org/officeDocument/2006/relationships/hyperlink" Target="https://www.fennemorelaw.com/washington-home-sellers-must-make-required-disclosures/" TargetMode="External"/><Relationship Id="rId19" Type="http://schemas.openxmlformats.org/officeDocument/2006/relationships/hyperlink" Target="https://www.fennemorelaw.com/top-five-things-to-know-about-shared-driveway-easements/" TargetMode="External"/><Relationship Id="rId20" Type="http://schemas.openxmlformats.org/officeDocument/2006/relationships/hyperlink" Target="https://www.fennemorelaw.com/easements-101-everything-you-need-to-know/" TargetMode="External"/><Relationship Id="rId21" Type="http://schemas.openxmlformats.org/officeDocument/2006/relationships/hyperlink" Target="https://www.fennemorelaw.com/idaho-legislature-acts-on-rental-restrictions/" TargetMode="External"/><Relationship Id="rId22" Type="http://schemas.openxmlformats.org/officeDocument/2006/relationships/hyperlink" Target="https://www.fennemorelaw.com/six-things-to-consider-before-putting-your-home-on-the-market/" TargetMode="External"/><Relationship Id="rId23" Type="http://schemas.openxmlformats.org/officeDocument/2006/relationships/hyperlink" Target="https://www.fennemorelaw.com/how-do-i-add-someone-to-my-propertys-title/" TargetMode="External"/><Relationship Id="rId24" Type="http://schemas.openxmlformats.org/officeDocument/2006/relationships/hyperlink" Target="https://www.fennemorelaw.com/should-i-waive-the-inspection-contingency/" TargetMode="External"/><Relationship Id="rId25" Type="http://schemas.openxmlformats.org/officeDocument/2006/relationships/hyperlink" Target="https://www.fennemorelaw.com/should-i-diy-my-real-estate-purchase-the-quick-answer-is-no/" TargetMode="External"/><Relationship Id="rId26" Type="http://schemas.openxmlformats.org/officeDocument/2006/relationships/hyperlink" Target="https://www.fennemorelaw.com/changes-to-washington-real-estate-excise-tax/" TargetMode="External"/><Relationship Id="rId27" Type="http://schemas.openxmlformats.org/officeDocument/2006/relationships/hyperlink" Target="https://fennemorelaw.com/startup-business-law-how-do-i-protect-my-personal-assets/" TargetMode="External"/><Relationship Id="rId28" Type="http://schemas.openxmlformats.org/officeDocument/2006/relationships/hyperlink" Target="https://www.fennemorelaw.com/changes-llc-corporation-filings-washington/" TargetMode="External"/><Relationship Id="rId29" Type="http://schemas.openxmlformats.org/officeDocument/2006/relationships/hyperlink" Target="https://www.fennemorelaw.com/service-account-cancellations-financial-affairs-powers-attorney/" TargetMode="External"/><Relationship Id="rId30" Type="http://schemas.openxmlformats.org/officeDocument/2006/relationships/hyperlink" Target="https://www.fennemorelaw.com/answers-3-common-questions-digital-assets/" TargetMode="External"/><Relationship Id="rId31" Type="http://schemas.openxmlformats.org/officeDocument/2006/relationships/hyperlink" Target="https://www.fennemorelaw.com/what-is-a-durable-power-of-attorney/" TargetMode="External"/><Relationship Id="rId32" Type="http://schemas.openxmlformats.org/officeDocument/2006/relationships/hyperlink" Target="https://www.fennemorelaw.com/estate-planning-who-is-it-really-for/" TargetMode="External"/><Relationship Id="rId33" Type="http://schemas.openxmlformats.org/officeDocument/2006/relationships/hyperlink" Target="https://www.fennemorelaw.com/hoa-rental-restrictions-are-they-valid/" TargetMode="External"/><Relationship Id="rId34" Type="http://schemas.openxmlformats.org/officeDocument/2006/relationships/hyperlink" Target="https://www.fennemorelaw.com/ccr-amendment-idaho-supreme-court-favors-hoa-over-homeowner/" TargetMode="External"/><Relationship Id="rId35" Type="http://schemas.openxmlformats.org/officeDocument/2006/relationships/hyperlink" Target="https://www.fennemorelaw.com/subchapter-s-election-for-a-single-member-llc/" TargetMode="External"/><Relationship Id="rId36" Type="http://schemas.openxmlformats.org/officeDocument/2006/relationships/hyperlink" Target="https://www.fennemorelaw.com/why-do-i-need-estate-planning/" TargetMode="External"/><Relationship Id="rId37" Type="http://schemas.openxmlformats.org/officeDocument/2006/relationships/hyperlink" Target="https://www.fennemorelaw.com/condominium-resale-certificate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Brett T. Sullivan - Fennemore</dc:title>
  <dcterms:created xsi:type="dcterms:W3CDTF">2026-06-12T09:47:34Z</dcterms:created>
  <dcterms:modified xsi:type="dcterms:W3CDTF">2026-06-12T09:47:34Z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