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ian Nad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BRIAN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NADLER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206.822.6811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bnadler@fennemorelaw.com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Brian Nadl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BRIAN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NADLER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206.822.6811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206.749.0600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bnadler@fennemorelaw.com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BRIAN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NADLER</w:t>
      </w:r>
    </w:p>
    <w:p>
      <w:pPr>
        <w:pStyle w:val="BodyText"/>
        <w:spacing w:line="297" w:lineRule="auto" w:before="147"/>
        <w:ind w:right="554"/>
      </w:pPr>
      <w:r>
        <w:rPr>
          <w:color w:val="6E6158"/>
        </w:rPr>
        <w:t>Brian Nadler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He assists clients in</w:t>
      </w:r>
      <w:r>
        <w:rPr>
          <w:color w:val="6E6158"/>
          <w:spacing w:val="40"/>
        </w:rPr>
        <w:t> </w:t>
      </w:r>
      <w:r>
        <w:rPr>
          <w:color w:val="6E6158"/>
        </w:rPr>
        <w:t>business and construction litigation matters and negotiates settlements. His practice also </w:t>
      </w:r>
      <w:r>
        <w:rPr>
          <w:color w:val="6E6158"/>
        </w:rPr>
        <w:t>involves</w:t>
      </w:r>
      <w:r>
        <w:rPr>
          <w:color w:val="6E6158"/>
          <w:spacing w:val="40"/>
        </w:rPr>
        <w:t> </w:t>
      </w:r>
      <w:r>
        <w:rPr>
          <w:color w:val="6E6158"/>
        </w:rPr>
        <w:t>assisting in reviewing appellate strategy and reviewing issues for appeal, interpreting technical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3"/>
        </w:rPr>
        <w:t> </w:t>
      </w:r>
      <w:r>
        <w:rPr>
          <w:color w:val="6E6158"/>
        </w:rPr>
        <w:t>issues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more</w:t>
      </w:r>
      <w:r>
        <w:rPr>
          <w:color w:val="6E6158"/>
          <w:spacing w:val="23"/>
        </w:rPr>
        <w:t> </w:t>
      </w:r>
      <w:r>
        <w:rPr>
          <w:color w:val="6E6158"/>
        </w:rPr>
        <w:t>generalist</w:t>
      </w:r>
      <w:r>
        <w:rPr>
          <w:color w:val="6E6158"/>
          <w:spacing w:val="23"/>
        </w:rPr>
        <w:t> </w:t>
      </w:r>
      <w:r>
        <w:rPr>
          <w:color w:val="6E6158"/>
        </w:rPr>
        <w:t>audience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judges.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has</w:t>
      </w:r>
      <w:r>
        <w:rPr>
          <w:color w:val="6E6158"/>
          <w:spacing w:val="23"/>
        </w:rPr>
        <w:t> </w:t>
      </w:r>
      <w:r>
        <w:rPr>
          <w:color w:val="6E6158"/>
        </w:rPr>
        <w:t>briefed</w:t>
      </w:r>
      <w:r>
        <w:rPr>
          <w:color w:val="6E6158"/>
          <w:spacing w:val="23"/>
        </w:rPr>
        <w:t> </w:t>
      </w:r>
      <w:r>
        <w:rPr>
          <w:color w:val="6E6158"/>
        </w:rPr>
        <w:t>cases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state</w:t>
      </w:r>
      <w:r>
        <w:rPr>
          <w:color w:val="6E6158"/>
          <w:spacing w:val="23"/>
        </w:rPr>
        <w:t> </w:t>
      </w:r>
      <w:r>
        <w:rPr>
          <w:color w:val="6E6158"/>
        </w:rPr>
        <w:t>and federal courts of appeals.</w:t>
      </w:r>
    </w:p>
    <w:p>
      <w:pPr>
        <w:pStyle w:val="BodyText"/>
        <w:spacing w:line="295" w:lineRule="auto" w:before="191"/>
        <w:ind w:right="554"/>
      </w:pPr>
      <w:r>
        <w:rPr>
          <w:color w:val="6E6158"/>
        </w:rPr>
        <w:t>Prior to joining Fennemore, Brian was a Senior Associate at Schlemlein Fick &amp; Franklin PLLC, where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argued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case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Washington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Division</w:t>
      </w:r>
      <w:r>
        <w:rPr>
          <w:color w:val="6E6158"/>
          <w:spacing w:val="26"/>
        </w:rPr>
        <w:t> </w:t>
      </w:r>
      <w:r>
        <w:rPr>
          <w:color w:val="6E6158"/>
        </w:rPr>
        <w:t>1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developed experience representing clients in various stages of civil litigation, drafting complaints, discovery,</w:t>
      </w:r>
      <w:r>
        <w:rPr>
          <w:color w:val="6E6158"/>
          <w:spacing w:val="40"/>
        </w:rPr>
        <w:t> </w:t>
      </w:r>
      <w:r>
        <w:rPr>
          <w:color w:val="6E6158"/>
        </w:rPr>
        <w:t>dispositive motions, and appellate amicus briefing for various associations.</w:t>
      </w:r>
    </w:p>
    <w:p>
      <w:pPr>
        <w:pStyle w:val="BodyText"/>
        <w:spacing w:line="295" w:lineRule="auto" w:before="197"/>
        <w:ind w:right="783"/>
      </w:pPr>
      <w:r>
        <w:rPr>
          <w:color w:val="6E6158"/>
        </w:rPr>
        <w:t>Brian earned his law degree at Gonzaga University School of Law. There, he was Editor-in-</w:t>
      </w:r>
      <w:r>
        <w:rPr>
          <w:color w:val="6E6158"/>
        </w:rPr>
        <w:t>Chief</w:t>
      </w:r>
      <w:r>
        <w:rPr>
          <w:color w:val="6E6158"/>
          <w:spacing w:val="80"/>
        </w:rPr>
        <w:t> </w:t>
      </w:r>
      <w:r>
        <w:rPr>
          <w:color w:val="6E6158"/>
        </w:rPr>
        <w:t>of the Gonzaga Law Review, Captain of the National Trial Team, and worked at the United</w:t>
      </w:r>
      <w:r>
        <w:rPr>
          <w:color w:val="6E6158"/>
          <w:spacing w:val="40"/>
        </w:rPr>
        <w:t> </w:t>
      </w:r>
      <w:r>
        <w:rPr>
          <w:color w:val="6E6158"/>
        </w:rPr>
        <w:t>States Attorney’s Office for the Eastern District of Washington. Brian also clerked for the</w:t>
      </w:r>
      <w:r>
        <w:rPr>
          <w:color w:val="6E6158"/>
          <w:spacing w:val="40"/>
        </w:rPr>
        <w:t> </w:t>
      </w:r>
      <w:r>
        <w:rPr>
          <w:color w:val="6E6158"/>
        </w:rPr>
        <w:t>Honorable</w:t>
      </w:r>
      <w:r>
        <w:rPr>
          <w:color w:val="6E6158"/>
          <w:spacing w:val="26"/>
        </w:rPr>
        <w:t> </w:t>
      </w:r>
      <w:r>
        <w:rPr>
          <w:color w:val="6E6158"/>
        </w:rPr>
        <w:t>Thomas</w:t>
      </w:r>
      <w:r>
        <w:rPr>
          <w:color w:val="6E6158"/>
          <w:spacing w:val="26"/>
        </w:rPr>
        <w:t> </w:t>
      </w:r>
      <w:r>
        <w:rPr>
          <w:color w:val="6E6158"/>
        </w:rPr>
        <w:t>O.</w:t>
      </w:r>
      <w:r>
        <w:rPr>
          <w:color w:val="6E6158"/>
          <w:spacing w:val="26"/>
        </w:rPr>
        <w:t> </w:t>
      </w:r>
      <w:r>
        <w:rPr>
          <w:color w:val="6E6158"/>
        </w:rPr>
        <w:t>Rice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Eastern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Washington.</w:t>
      </w:r>
    </w:p>
    <w:p>
      <w:pPr>
        <w:pStyle w:val="BodyText"/>
        <w:spacing w:line="292" w:lineRule="auto" w:before="196"/>
        <w:ind w:right="618"/>
      </w:pPr>
      <w:r>
        <w:rPr>
          <w:color w:val="6E6158"/>
        </w:rPr>
        <w:t>Outside of the office, Brian enjoys his California roots by cheering for his Sacramento Kings and</w:t>
      </w:r>
      <w:r>
        <w:rPr>
          <w:color w:val="6E6158"/>
          <w:spacing w:val="40"/>
        </w:rPr>
        <w:t> </w:t>
      </w:r>
      <w:r>
        <w:rPr>
          <w:color w:val="6E6158"/>
        </w:rPr>
        <w:t>San Francisco 49ers. He also enjoys triathlons, spending time outdoors with his wife and son,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raising their two Australian Shepherds, Sierra and Bran.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05" w:lineRule="auto"/>
        <w:ind w:left="343" w:right="5869" w:hanging="245"/>
      </w:pPr>
      <w:r>
        <w:rPr>
          <w:color w:val="6E6158"/>
        </w:rPr>
        <w:t>J.D., Gonzaga University School of Law Editor-in-Chief, Gonzaga Law </w:t>
      </w:r>
      <w:r>
        <w:rPr>
          <w:color w:val="6E6158"/>
        </w:rPr>
        <w:t>Review</w:t>
      </w:r>
      <w:r>
        <w:rPr>
          <w:color w:val="6E6158"/>
        </w:rPr>
        <w:t> Captain, National Trial Team</w:t>
      </w:r>
    </w:p>
    <w:p>
      <w:pPr>
        <w:pStyle w:val="BodyText"/>
        <w:spacing w:line="420" w:lineRule="auto" w:before="23"/>
        <w:ind w:left="343" w:right="5147"/>
      </w:pPr>
      <w:r>
        <w:rPr>
          <w:color w:val="6E6158"/>
        </w:rPr>
        <w:t>President, William O. Douglas </w:t>
      </w:r>
      <w:r>
        <w:rPr>
          <w:color w:val="6E6158"/>
        </w:rPr>
        <w:t>Committee Moot Court Honors Council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Claremont</w:t>
      </w:r>
      <w:r>
        <w:rPr>
          <w:color w:val="6E6158"/>
          <w:spacing w:val="16"/>
        </w:rPr>
        <w:t> </w:t>
      </w:r>
      <w:r>
        <w:rPr>
          <w:color w:val="6E6158"/>
        </w:rPr>
        <w:t>McKenna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513"/>
      </w:pPr>
      <w:r>
        <w:rPr>
          <w:color w:val="6E6158"/>
        </w:rPr>
        <w:t>Construction Law Labor &amp; </w:t>
      </w:r>
      <w:r>
        <w:rPr>
          <w:color w:val="6E6158"/>
        </w:rPr>
        <w:t>Employment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83"/>
      </w:pPr>
      <w:r>
        <w:rPr>
          <w:color w:val="6E6158"/>
        </w:rPr>
        <w:t>Dearinger v. Eli Lilly, 2026 WL 788866 (9th Cir. 2026) (argued): represented appellants as Ninth</w:t>
      </w:r>
      <w:r>
        <w:rPr>
          <w:color w:val="6E6158"/>
          <w:spacing w:val="40"/>
        </w:rPr>
        <w:t> </w:t>
      </w:r>
      <w:r>
        <w:rPr>
          <w:color w:val="6E6158"/>
        </w:rPr>
        <w:t>Circuit appointed pro bono counsel on complex pharmaceutical products liability case</w:t>
      </w:r>
      <w:r>
        <w:rPr>
          <w:color w:val="6E6158"/>
          <w:spacing w:val="40"/>
        </w:rPr>
        <w:t> </w:t>
      </w:r>
      <w:r>
        <w:rPr>
          <w:color w:val="6E6158"/>
        </w:rPr>
        <w:t>involving the trial court’s failure to follow procedural and substantive requirements in not</w:t>
      </w:r>
      <w:r>
        <w:rPr>
          <w:color w:val="6E6158"/>
          <w:spacing w:val="40"/>
        </w:rPr>
        <w:t> </w:t>
      </w:r>
      <w:r>
        <w:rPr>
          <w:color w:val="6E6158"/>
        </w:rPr>
        <w:t>requesting</w:t>
      </w:r>
      <w:r>
        <w:rPr>
          <w:color w:val="6E6158"/>
          <w:spacing w:val="20"/>
        </w:rPr>
        <w:t> </w:t>
      </w:r>
      <w:r>
        <w:rPr>
          <w:color w:val="6E6158"/>
        </w:rPr>
        <w:t>appointment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properly</w:t>
      </w:r>
      <w:r>
        <w:rPr>
          <w:color w:val="6E6158"/>
          <w:spacing w:val="20"/>
        </w:rPr>
        <w:t> </w:t>
      </w:r>
      <w:r>
        <w:rPr>
          <w:color w:val="6E6158"/>
        </w:rPr>
        <w:t>applying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learned</w:t>
      </w:r>
      <w:r>
        <w:rPr>
          <w:color w:val="6E6158"/>
          <w:spacing w:val="20"/>
        </w:rPr>
        <w:t> </w:t>
      </w:r>
      <w:r>
        <w:rPr>
          <w:color w:val="6E6158"/>
        </w:rPr>
        <w:t>intermediary</w:t>
      </w:r>
      <w:r>
        <w:rPr>
          <w:color w:val="6E6158"/>
          <w:spacing w:val="20"/>
        </w:rPr>
        <w:t> </w:t>
      </w:r>
      <w:r>
        <w:rPr>
          <w:color w:val="6E6158"/>
        </w:rPr>
        <w:t>doctrine.</w:t>
      </w:r>
    </w:p>
    <w:p>
      <w:pPr>
        <w:pStyle w:val="BodyText"/>
        <w:spacing w:line="292" w:lineRule="auto" w:before="132"/>
        <w:ind w:right="542"/>
        <w:jc w:val="both"/>
      </w:pPr>
      <w:r>
        <w:rPr>
          <w:color w:val="6E6158"/>
        </w:rPr>
        <w:t>Port of Anacortes v. Frontier Indus., 9 Wn. App. 2d 885, 447 P.3d 215 (Div. 1 2019): drafted briefing successfully defending a challenge to what constitutes a hazardous substance under the </w:t>
      </w:r>
      <w:r>
        <w:rPr>
          <w:color w:val="6E6158"/>
        </w:rPr>
        <w:t>Model Toxics Control Act.</w:t>
      </w:r>
    </w:p>
    <w:p>
      <w:pPr>
        <w:pStyle w:val="BodyText"/>
        <w:spacing w:line="297" w:lineRule="auto" w:before="124"/>
        <w:ind w:right="552"/>
      </w:pPr>
      <w:r>
        <w:rPr>
          <w:color w:val="6E6158"/>
        </w:rPr>
        <w:t>Pellco v. Cornerstone General Contractors, 2021 WL 4523088 (Div. 1 2021) (unpublished): </w:t>
      </w:r>
      <w:r>
        <w:rPr>
          <w:color w:val="6E6158"/>
        </w:rPr>
        <w:t>drafted</w:t>
      </w:r>
      <w:r>
        <w:rPr>
          <w:color w:val="6E6158"/>
          <w:spacing w:val="40"/>
        </w:rPr>
        <w:t> </w:t>
      </w:r>
      <w:r>
        <w:rPr>
          <w:color w:val="6E6158"/>
        </w:rPr>
        <w:t>an amicus brief on behalf of the Mechanical Contractors Association of Western Washington,</w:t>
      </w:r>
      <w:r>
        <w:rPr>
          <w:color w:val="6E6158"/>
          <w:spacing w:val="40"/>
        </w:rPr>
        <w:t>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Electrical</w:t>
      </w:r>
      <w:r>
        <w:rPr>
          <w:color w:val="6E6158"/>
          <w:spacing w:val="40"/>
        </w:rPr>
        <w:t> </w:t>
      </w:r>
      <w:r>
        <w:rPr>
          <w:color w:val="6E6158"/>
        </w:rPr>
        <w:t>Contractors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</w:rPr>
        <w:t>Sheet</w:t>
      </w:r>
      <w:r>
        <w:rPr>
          <w:color w:val="6E6158"/>
          <w:spacing w:val="40"/>
        </w:rPr>
        <w:t> </w:t>
      </w:r>
      <w:r>
        <w:rPr>
          <w:color w:val="6E6158"/>
        </w:rPr>
        <w:t>Metal</w:t>
      </w:r>
      <w:r>
        <w:rPr>
          <w:color w:val="6E6158"/>
          <w:spacing w:val="40"/>
        </w:rPr>
        <w:t> </w:t>
      </w:r>
      <w:r>
        <w:rPr>
          <w:color w:val="6E6158"/>
        </w:rPr>
        <w:t>Air</w:t>
      </w:r>
      <w:r>
        <w:rPr>
          <w:color w:val="6E6158"/>
          <w:spacing w:val="40"/>
        </w:rPr>
        <w:t> </w:t>
      </w:r>
      <w:r>
        <w:rPr>
          <w:color w:val="6E6158"/>
        </w:rPr>
        <w:t>Conditioning</w:t>
      </w:r>
      <w:r>
        <w:rPr>
          <w:color w:val="6E6158"/>
          <w:spacing w:val="40"/>
        </w:rPr>
        <w:t>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</w:p>
    <w:p>
      <w:pPr>
        <w:pStyle w:val="BodyText"/>
        <w:spacing w:line="302" w:lineRule="auto"/>
        <w:ind w:right="554"/>
      </w:pPr>
      <w:r>
        <w:rPr>
          <w:color w:val="6E6158"/>
        </w:rPr>
        <w:t>Northwest Wall &amp; Ceiling Contractors Association, National Utility Contractors Association </w:t>
      </w:r>
      <w:r>
        <w:rPr>
          <w:color w:val="6E6158"/>
        </w:rPr>
        <w:t>of Washington, and Washington State Conference of Mason Contractors.</w:t>
      </w:r>
    </w:p>
    <w:p>
      <w:pPr>
        <w:pStyle w:val="BodyText"/>
        <w:spacing w:line="292" w:lineRule="auto" w:before="109"/>
      </w:pPr>
      <w:r>
        <w:rPr>
          <w:color w:val="6E6158"/>
        </w:rPr>
        <w:t>Hemmen v. Cho, 2023 WL 195346 (Div. 1 2023) (unpublished): secured reversal of the trial court’s</w:t>
      </w:r>
      <w:r>
        <w:rPr>
          <w:color w:val="6E6158"/>
          <w:spacing w:val="40"/>
        </w:rPr>
        <w:t> </w:t>
      </w:r>
      <w:r>
        <w:rPr>
          <w:color w:val="6E6158"/>
        </w:rPr>
        <w:t>determination that a gate interfered with easement rights and affirmed dismissal of the plaintiff’s</w:t>
      </w:r>
      <w:r>
        <w:rPr>
          <w:color w:val="6E6158"/>
          <w:spacing w:val="80"/>
        </w:rPr>
        <w:t> </w:t>
      </w:r>
      <w:r>
        <w:rPr>
          <w:color w:val="6E6158"/>
        </w:rPr>
        <w:t>prescriptive easement claims.</w:t>
      </w:r>
    </w:p>
    <w:p>
      <w:pPr>
        <w:pStyle w:val="BodyText"/>
        <w:spacing w:line="292" w:lineRule="auto" w:before="132"/>
        <w:ind w:right="618"/>
      </w:pPr>
      <w:r>
        <w:rPr>
          <w:color w:val="6E6158"/>
        </w:rPr>
        <w:t>King County v. Walsh Construction Co., 27 Wn. App. 2d 156, 532 P.3d 182 (Div. 1 2023): drafted an amicus brief on behalf of the Associated General Contractors of Washington and National Utility</w:t>
      </w:r>
      <w:r>
        <w:rPr>
          <w:color w:val="6E6158"/>
          <w:spacing w:val="40"/>
        </w:rPr>
        <w:t> </w:t>
      </w:r>
      <w:r>
        <w:rPr>
          <w:color w:val="6E6158"/>
        </w:rPr>
        <w:t>Contractors Association of Washington.</w:t>
      </w:r>
    </w:p>
    <w:p>
      <w:pPr>
        <w:pStyle w:val="BodyText"/>
        <w:spacing w:line="302" w:lineRule="auto" w:before="124"/>
        <w:ind w:right="554"/>
      </w:pPr>
      <w:r>
        <w:rPr>
          <w:color w:val="6E6158"/>
        </w:rPr>
        <w:t>Bridge Co. v. Clark/Lewis et al., No. 85808-4-I (Div. 1 2023): drafted an amicus brief opposing</w:t>
      </w:r>
      <w:r>
        <w:rPr>
          <w:color w:val="6E6158"/>
          <w:spacing w:val="40"/>
        </w:rPr>
        <w:t> </w:t>
      </w:r>
      <w:r>
        <w:rPr>
          <w:color w:val="6E6158"/>
        </w:rPr>
        <w:t>discretionary</w:t>
      </w:r>
      <w:r>
        <w:rPr>
          <w:color w:val="6E6158"/>
          <w:spacing w:val="14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behalf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Mechanical</w:t>
      </w:r>
      <w:r>
        <w:rPr>
          <w:color w:val="6E6158"/>
          <w:spacing w:val="14"/>
        </w:rPr>
        <w:t> </w:t>
      </w:r>
      <w:r>
        <w:rPr>
          <w:color w:val="6E6158"/>
        </w:rPr>
        <w:t>Contractors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Western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Washington.</w:t>
      </w:r>
    </w:p>
    <w:p>
      <w:pPr>
        <w:pStyle w:val="BodyText"/>
        <w:spacing w:line="292" w:lineRule="auto" w:before="113"/>
        <w:ind w:right="554"/>
      </w:pPr>
      <w:r>
        <w:rPr>
          <w:color w:val="6E6158"/>
        </w:rPr>
        <w:t>C.A. Carey Corp. v. City of Snoqualmie, 29 Wn. App. 2d 890, 547 P.3d 247 (Div. 1 2024): drafted</w:t>
      </w:r>
      <w:r>
        <w:rPr>
          <w:color w:val="6E6158"/>
          <w:spacing w:val="40"/>
        </w:rPr>
        <w:t> </w:t>
      </w:r>
      <w:r>
        <w:rPr>
          <w:color w:val="6E6158"/>
        </w:rPr>
        <w:t>briefing on Washington contractor law.</w:t>
      </w:r>
    </w:p>
    <w:p>
      <w:pPr>
        <w:pStyle w:val="BodyText"/>
        <w:spacing w:line="297" w:lineRule="auto" w:before="123"/>
        <w:ind w:right="554"/>
      </w:pPr>
      <w:r>
        <w:rPr>
          <w:color w:val="6E6158"/>
        </w:rPr>
        <w:t>Maniatis v. Singh, No. 86872-1-I (Div. 1 2024): drafted briefing on trial court’s failure to follow</w:t>
      </w:r>
      <w:r>
        <w:rPr>
          <w:color w:val="6E6158"/>
          <w:spacing w:val="40"/>
        </w:rPr>
        <w:t> </w:t>
      </w:r>
      <w:r>
        <w:rPr>
          <w:color w:val="6E6158"/>
        </w:rPr>
        <w:t>procedural and substantive requirements in finding the defendant in contempt of court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presented oral argument on the same.</w:t>
      </w:r>
    </w:p>
    <w:p>
      <w:pPr>
        <w:pStyle w:val="BodyText"/>
        <w:spacing w:line="302" w:lineRule="auto" w:before="118"/>
        <w:ind w:right="554"/>
      </w:pPr>
      <w:r>
        <w:rPr>
          <w:color w:val="6E6158"/>
        </w:rPr>
        <w:t>Nsejjere v. Anderton, No. 60351-9-II (Div. 2 2025): secured affirmation of trial court’s grant of</w:t>
      </w:r>
      <w:r>
        <w:rPr>
          <w:color w:val="6E6158"/>
          <w:spacing w:val="40"/>
        </w:rPr>
        <w:t> </w:t>
      </w:r>
      <w:r>
        <w:rPr>
          <w:color w:val="6E6158"/>
        </w:rPr>
        <w:t>dismissal for failure to state a claim for defamation.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783"/>
      </w:pPr>
      <w:r>
        <w:rPr>
          <w:color w:val="6E6158"/>
        </w:rPr>
        <w:t>Best Lawyers® Ones to Watch®, Creditor Debtor Rights / Insolvency and Reorganization </w:t>
      </w:r>
      <w:r>
        <w:rPr>
          <w:color w:val="6E6158"/>
        </w:rPr>
        <w:t>Law, and Commercial Litigation, 2026</w:t>
      </w:r>
    </w:p>
    <w:p>
      <w:pPr>
        <w:pStyle w:val="BodyText"/>
        <w:spacing w:before="123"/>
      </w:pPr>
      <w:r>
        <w:rPr>
          <w:color w:val="6E6158"/>
        </w:rPr>
        <w:t>Rising</w:t>
      </w:r>
      <w:r>
        <w:rPr>
          <w:color w:val="6E6158"/>
          <w:spacing w:val="11"/>
        </w:rPr>
        <w:t> </w:t>
      </w:r>
      <w:r>
        <w:rPr>
          <w:color w:val="6E6158"/>
        </w:rPr>
        <w:t>Star,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1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2025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554"/>
      </w:pPr>
      <w:r>
        <w:rPr>
          <w:color w:val="6E6158"/>
        </w:rPr>
        <w:t>Comment, “Jurisprudential Juxtapositions: Resolving Establishment Clause Issues After Town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Greece, N.Y. v. Galloway,” 50 GONZ. L. REV. 1, 75-96 (2015)</w:t>
      </w:r>
    </w:p>
    <w:p>
      <w:pPr>
        <w:pStyle w:val="BodyText"/>
        <w:spacing w:line="302" w:lineRule="auto" w:before="123"/>
        <w:ind w:right="554"/>
      </w:pPr>
      <w:r>
        <w:rPr>
          <w:color w:val="6E6158"/>
        </w:rPr>
        <w:t>Author, “Tropical Cyclones and Global Warming,” GLOBAL CLIMATE CHANGE AND NATURAL RESOURCES 1, 203 (Roberts Environmental Center Press 2011).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54"/>
      </w:pPr>
      <w:r>
        <w:rPr>
          <w:color w:val="6E6158"/>
        </w:rPr>
        <w:t>Editor, Washington Construction Law Deskbook (2024): Chapter 11, Construction and </w:t>
      </w:r>
      <w:r>
        <w:rPr>
          <w:color w:val="6E6158"/>
        </w:rPr>
        <w:t>Other Involuntary Liens.</w:t>
      </w:r>
    </w:p>
    <w:p>
      <w:pPr>
        <w:pStyle w:val="BodyText"/>
        <w:spacing w:before="132"/>
      </w:pPr>
      <w:r>
        <w:rPr>
          <w:color w:val="6E6158"/>
        </w:rPr>
        <w:t>Editor,</w:t>
      </w:r>
      <w:r>
        <w:rPr>
          <w:color w:val="6E6158"/>
          <w:spacing w:val="11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Deskbook</w:t>
      </w:r>
      <w:r>
        <w:rPr>
          <w:color w:val="6E6158"/>
          <w:spacing w:val="11"/>
        </w:rPr>
        <w:t> </w:t>
      </w:r>
      <w:r>
        <w:rPr>
          <w:color w:val="6E6158"/>
        </w:rPr>
        <w:t>(2024):</w:t>
      </w:r>
      <w:r>
        <w:rPr>
          <w:color w:val="6E6158"/>
          <w:spacing w:val="12"/>
        </w:rPr>
        <w:t> </w:t>
      </w:r>
      <w:r>
        <w:rPr>
          <w:color w:val="6E6158"/>
        </w:rPr>
        <w:t>Chapter</w:t>
      </w:r>
      <w:r>
        <w:rPr>
          <w:color w:val="6E6158"/>
          <w:spacing w:val="11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Damages.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Washington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93" w:lineRule="auto" w:before="174"/>
        <w:ind w:left="343" w:right="3508" w:hanging="245"/>
      </w:pPr>
      <w:r>
        <w:rPr>
          <w:color w:val="6E6158"/>
        </w:rPr>
        <w:t>King County Bar Association – Appellate Practice </w:t>
      </w:r>
      <w:r>
        <w:rPr>
          <w:color w:val="6E6158"/>
        </w:rPr>
        <w:t>Section Executive Committee, Honorary Member, 2025</w:t>
      </w:r>
    </w:p>
    <w:p>
      <w:pPr>
        <w:pStyle w:val="BodyText"/>
        <w:spacing w:before="34"/>
      </w:pP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Washington</w:t>
      </w:r>
    </w:p>
    <w:p>
      <w:pPr>
        <w:pStyle w:val="BodyText"/>
        <w:spacing w:line="427" w:lineRule="auto" w:before="174"/>
        <w:ind w:right="5147"/>
      </w:pPr>
      <w:r>
        <w:rPr>
          <w:color w:val="6E6158"/>
        </w:rPr>
        <w:t>U.S. District Court, Western District of </w:t>
      </w:r>
      <w:r>
        <w:rPr>
          <w:color w:val="6E6158"/>
        </w:rPr>
        <w:t>Washington</w:t>
      </w:r>
      <w:r>
        <w:rPr>
          <w:color w:val="6E6158"/>
        </w:rPr>
        <w:t> Ninth Circuit Court of Appeals</w:t>
      </w:r>
    </w:p>
    <w:p>
      <w:pPr>
        <w:pStyle w:val="BodyText"/>
        <w:spacing w:line="420" w:lineRule="auto"/>
        <w:ind w:right="5195"/>
      </w:pPr>
      <w:r>
        <w:rPr>
          <w:color w:val="6E6158"/>
        </w:rPr>
        <w:t>U.S. Court of Appeals, District of </w:t>
      </w:r>
      <w:r>
        <w:rPr>
          <w:color w:val="6E6158"/>
        </w:rPr>
        <w:t>Columbia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nadl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Nadler - Fennemore</dc:title>
  <dcterms:created xsi:type="dcterms:W3CDTF">2026-06-12T09:39:20Z</dcterms:created>
  <dcterms:modified xsi:type="dcterms:W3CDTF">2026-06-12T09:39:20Z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