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84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-3386172</wp:posOffset>
                </wp:positionV>
                <wp:extent cx="6071870" cy="33178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17875"/>
                          <a:chExt cx="6071870" cy="331787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leena Braig 113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33149" y="763308"/>
                            <a:ext cx="2054225" cy="125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CALEENA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S.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BRAIG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&amp; Director of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Legal Talent Acquisition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1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288513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44867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44867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47952" y="2655392"/>
                            <a:ext cx="14243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cbraig@fennemorelaw.com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66.627747pt;width:478.1pt;height:261.25pt;mso-position-horizontal-relative:page;mso-position-vertical-relative:paragraph;z-index:15728640" id="docshapegroup1" coordorigin="1336,-5333" coordsize="9562,5225">
                <v:shape style="position:absolute;left:1336;top:-5333;width:2165;height:424" type="#_x0000_t75" id="docshape2" alt="Fennemore" href="https://www.fennemorelaw.com/" stroked="false">
                  <v:imagedata r:id="rId5" o:title=""/>
                </v:shape>
                <v:shape style="position:absolute;left:1336;top:-4910;width:4785;height:4802" type="#_x0000_t75" id="docshape3" alt="Caleena Braig 1135website" stroked="false">
                  <v:imagedata r:id="rId7" o:title=""/>
                </v:shape>
                <v:rect style="position:absolute;left:6121;top:-4910;width:4777;height:4802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0;top:-4131;width:3235;height:1975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CALEENA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S.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BRAIG</w:t>
                        </w:r>
                      </w:p>
                      <w:p>
                        <w:pPr>
                          <w:spacing w:line="199" w:lineRule="auto" w:before="8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&amp; Director of </w:t>
                        </w:r>
                        <w:r>
                          <w:rPr>
                            <w:color w:val="FFFFFF"/>
                            <w:sz w:val="24"/>
                          </w:rPr>
                          <w:t>Legal Talent Acquisition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919" w:right="0" w:firstLine="0"/>
                          <w:jc w:val="left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303.813.3808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95;top:-1151;width:224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cbraig@fennemorelaw.com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CALEENA</w:t>
      </w:r>
      <w:r>
        <w:rPr>
          <w:color w:val="FF8100"/>
          <w:spacing w:val="7"/>
        </w:rPr>
        <w:t> </w:t>
      </w:r>
      <w:r>
        <w:rPr>
          <w:color w:val="FF8100"/>
        </w:rPr>
        <w:t>S.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BRAIG</w:t>
      </w:r>
    </w:p>
    <w:p>
      <w:pPr>
        <w:pStyle w:val="BodyText"/>
        <w:spacing w:line="297" w:lineRule="auto" w:before="147"/>
        <w:ind w:right="156"/>
      </w:pPr>
      <w:r>
        <w:rPr>
          <w:color w:val="6E6158"/>
        </w:rPr>
        <w:t>Caleena Braig is a seasoned trial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</w:t>
      </w:r>
      <w:r>
        <w:rPr>
          <w:color w:val="6E6158"/>
          <w:spacing w:val="80"/>
        </w:rPr>
        <w:t> </w:t>
      </w:r>
      <w:r>
        <w:rPr>
          <w:color w:val="6E6158"/>
        </w:rPr>
        <w:t>where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broad</w:t>
      </w:r>
      <w:r>
        <w:rPr>
          <w:color w:val="6E6158"/>
          <w:spacing w:val="25"/>
        </w:rPr>
        <w:t> </w:t>
      </w:r>
      <w:r>
        <w:rPr>
          <w:color w:val="6E6158"/>
        </w:rPr>
        <w:t>spectrum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civil</w:t>
      </w:r>
      <w:r>
        <w:rPr>
          <w:color w:val="6E6158"/>
          <w:spacing w:val="25"/>
        </w:rPr>
        <w:t> </w:t>
      </w:r>
      <w:r>
        <w:rPr>
          <w:color w:val="6E6158"/>
        </w:rPr>
        <w:t>litigation</w:t>
      </w:r>
      <w:r>
        <w:rPr>
          <w:color w:val="6E6158"/>
          <w:spacing w:val="25"/>
        </w:rPr>
        <w:t> </w:t>
      </w:r>
      <w:r>
        <w:rPr>
          <w:color w:val="6E6158"/>
        </w:rPr>
        <w:t>matters.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practice</w:t>
      </w:r>
      <w:r>
        <w:rPr>
          <w:color w:val="6E6158"/>
          <w:spacing w:val="25"/>
        </w:rPr>
        <w:t> </w:t>
      </w:r>
      <w:r>
        <w:rPr>
          <w:color w:val="6E6158"/>
        </w:rPr>
        <w:t>focuses on breach of contract disputes, employment issues—including wrongful termination—real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disputes, and complex business litigation. As the Director of Legal Talent Acquisition, Caleena</w:t>
      </w:r>
      <w:r>
        <w:rPr>
          <w:color w:val="6E6158"/>
          <w:spacing w:val="40"/>
        </w:rPr>
        <w:t> </w:t>
      </w:r>
      <w:r>
        <w:rPr>
          <w:color w:val="6E6158"/>
        </w:rPr>
        <w:t>handles Director recruitment and plays a key role in the firm’s strategic growth through mergers</w:t>
      </w:r>
      <w:r>
        <w:rPr>
          <w:color w:val="6E6158"/>
          <w:spacing w:val="40"/>
        </w:rPr>
        <w:t> </w:t>
      </w:r>
      <w:r>
        <w:rPr>
          <w:color w:val="6E6158"/>
        </w:rPr>
        <w:t>and combinations.</w:t>
      </w:r>
    </w:p>
    <w:p>
      <w:pPr>
        <w:pStyle w:val="BodyText"/>
        <w:spacing w:line="292" w:lineRule="auto" w:before="187"/>
        <w:ind w:right="401"/>
      </w:pPr>
      <w:r>
        <w:rPr>
          <w:color w:val="6E6158"/>
        </w:rPr>
        <w:t>Caleena works closely with clients to proactively manage risk, offering strategic advice to</w:t>
      </w:r>
      <w:r>
        <w:rPr>
          <w:color w:val="6E6158"/>
          <w:spacing w:val="40"/>
        </w:rPr>
        <w:t> </w:t>
      </w:r>
      <w:r>
        <w:rPr>
          <w:color w:val="6E6158"/>
        </w:rPr>
        <w:t>prevent litigious disputes or reach favorable settlements. When litigation is necessary, she is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formidable</w:t>
      </w:r>
      <w:r>
        <w:rPr>
          <w:color w:val="6E6158"/>
          <w:spacing w:val="24"/>
        </w:rPr>
        <w:t> </w:t>
      </w:r>
      <w:r>
        <w:rPr>
          <w:color w:val="6E6158"/>
        </w:rPr>
        <w:t>advocate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jury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bench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both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courts,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 w:before="10"/>
      </w:pPr>
      <w:r>
        <w:rPr>
          <w:color w:val="6E6158"/>
        </w:rPr>
        <w:t>arbitration. Caleena’s experience spans the full litigation cycle from discovery and depositions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motion practice, trial preparation, and courtroom advocacy.</w:t>
      </w:r>
    </w:p>
    <w:p>
      <w:pPr>
        <w:pStyle w:val="BodyText"/>
        <w:spacing w:line="295" w:lineRule="auto" w:before="196"/>
        <w:ind w:right="226"/>
      </w:pPr>
      <w:r>
        <w:rPr>
          <w:color w:val="6E6158"/>
        </w:rPr>
        <w:t>Before</w:t>
      </w:r>
      <w:r>
        <w:rPr>
          <w:color w:val="6E6158"/>
          <w:spacing w:val="20"/>
        </w:rPr>
        <w:t> </w:t>
      </w:r>
      <w:r>
        <w:rPr>
          <w:color w:val="6E6158"/>
        </w:rPr>
        <w:t>joining</w:t>
      </w:r>
      <w:r>
        <w:rPr>
          <w:color w:val="6E6158"/>
          <w:spacing w:val="20"/>
        </w:rPr>
        <w:t> </w:t>
      </w:r>
      <w:r>
        <w:rPr>
          <w:color w:val="6E6158"/>
        </w:rPr>
        <w:t>Fennemore,</w:t>
      </w:r>
      <w:r>
        <w:rPr>
          <w:color w:val="6E6158"/>
          <w:spacing w:val="20"/>
        </w:rPr>
        <w:t> </w:t>
      </w:r>
      <w:r>
        <w:rPr>
          <w:color w:val="6E6158"/>
        </w:rPr>
        <w:t>Caleena</w:t>
      </w:r>
      <w:r>
        <w:rPr>
          <w:color w:val="6E6158"/>
          <w:spacing w:val="20"/>
        </w:rPr>
        <w:t> </w:t>
      </w:r>
      <w:r>
        <w:rPr>
          <w:color w:val="6E6158"/>
        </w:rPr>
        <w:t>practiced</w:t>
      </w:r>
      <w:r>
        <w:rPr>
          <w:color w:val="6E6158"/>
          <w:spacing w:val="20"/>
        </w:rPr>
        <w:t> </w:t>
      </w:r>
      <w:r>
        <w:rPr>
          <w:color w:val="6E6158"/>
        </w:rPr>
        <w:t>at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regional</w:t>
      </w:r>
      <w:r>
        <w:rPr>
          <w:color w:val="6E6158"/>
          <w:spacing w:val="20"/>
        </w:rPr>
        <w:t> </w:t>
      </w:r>
      <w:r>
        <w:rPr>
          <w:color w:val="6E6158"/>
        </w:rPr>
        <w:t>litigation</w:t>
      </w:r>
      <w:r>
        <w:rPr>
          <w:color w:val="6E6158"/>
          <w:spacing w:val="20"/>
        </w:rPr>
        <w:t> </w:t>
      </w:r>
      <w:r>
        <w:rPr>
          <w:color w:val="6E6158"/>
        </w:rPr>
        <w:t>firm,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defended a</w:t>
      </w:r>
      <w:r>
        <w:rPr>
          <w:color w:val="6E6158"/>
          <w:spacing w:val="29"/>
        </w:rPr>
        <w:t> </w:t>
      </w:r>
      <w:r>
        <w:rPr>
          <w:color w:val="6E6158"/>
        </w:rPr>
        <w:t>Fortune</w:t>
      </w:r>
      <w:r>
        <w:rPr>
          <w:color w:val="6E6158"/>
          <w:spacing w:val="29"/>
        </w:rPr>
        <w:t> </w:t>
      </w:r>
      <w:r>
        <w:rPr>
          <w:color w:val="6E6158"/>
        </w:rPr>
        <w:t>500</w:t>
      </w:r>
      <w:r>
        <w:rPr>
          <w:color w:val="6E6158"/>
          <w:spacing w:val="29"/>
        </w:rPr>
        <w:t> </w:t>
      </w:r>
      <w:r>
        <w:rPr>
          <w:color w:val="6E6158"/>
        </w:rPr>
        <w:t>company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complex,</w:t>
      </w:r>
      <w:r>
        <w:rPr>
          <w:color w:val="6E6158"/>
          <w:spacing w:val="29"/>
        </w:rPr>
        <w:t> </w:t>
      </w:r>
      <w:r>
        <w:rPr>
          <w:color w:val="6E6158"/>
        </w:rPr>
        <w:t>multi-jurisdictional</w:t>
      </w:r>
      <w:r>
        <w:rPr>
          <w:color w:val="6E6158"/>
          <w:spacing w:val="29"/>
        </w:rPr>
        <w:t> </w:t>
      </w:r>
      <w:r>
        <w:rPr>
          <w:color w:val="6E6158"/>
        </w:rPr>
        <w:t>matters.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trial attorney at a Dallas-based litigation defense firm, trying numerous cases to verdict in both state</w:t>
      </w:r>
      <w:r>
        <w:rPr>
          <w:color w:val="6E6158"/>
          <w:spacing w:val="40"/>
        </w:rPr>
        <w:t> </w:t>
      </w:r>
      <w:r>
        <w:rPr>
          <w:color w:val="6E6158"/>
        </w:rPr>
        <w:t>and federal court.</w:t>
      </w:r>
    </w:p>
    <w:p>
      <w:pPr>
        <w:pStyle w:val="BodyText"/>
        <w:spacing w:line="297" w:lineRule="auto" w:before="197"/>
      </w:pPr>
      <w:r>
        <w:rPr>
          <w:color w:val="6E6158"/>
        </w:rPr>
        <w:t>Caleena is actively engaged in the community and has held leadership and volunteer roles with</w:t>
      </w:r>
      <w:r>
        <w:rPr>
          <w:color w:val="6E6158"/>
          <w:spacing w:val="40"/>
        </w:rPr>
        <w:t> </w:t>
      </w:r>
      <w:r>
        <w:rPr>
          <w:color w:val="6E6158"/>
        </w:rPr>
        <w:t>several nonprofit and civic organizations. Her involvement includes service with the Alzheimer’s</w:t>
      </w:r>
      <w:r>
        <w:rPr>
          <w:color w:val="6E6158"/>
          <w:spacing w:val="40"/>
        </w:rPr>
        <w:t> </w:t>
      </w:r>
      <w:r>
        <w:rPr>
          <w:color w:val="6E6158"/>
        </w:rPr>
        <w:t>Association,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Association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Junior</w:t>
      </w:r>
      <w:r>
        <w:rPr>
          <w:color w:val="6E6158"/>
          <w:spacing w:val="33"/>
        </w:rPr>
        <w:t> </w:t>
      </w:r>
      <w:r>
        <w:rPr>
          <w:color w:val="6E6158"/>
        </w:rPr>
        <w:t>Leagues</w:t>
      </w:r>
      <w:r>
        <w:rPr>
          <w:color w:val="6E6158"/>
          <w:spacing w:val="33"/>
        </w:rPr>
        <w:t> </w:t>
      </w:r>
      <w:r>
        <w:rPr>
          <w:color w:val="6E6158"/>
        </w:rPr>
        <w:t>International,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Mile</w:t>
      </w:r>
      <w:r>
        <w:rPr>
          <w:color w:val="6E6158"/>
          <w:spacing w:val="33"/>
        </w:rPr>
        <w:t> </w:t>
      </w:r>
      <w:r>
        <w:rPr>
          <w:color w:val="6E6158"/>
        </w:rPr>
        <w:t>High</w:t>
      </w:r>
      <w:r>
        <w:rPr>
          <w:color w:val="6E6158"/>
          <w:spacing w:val="33"/>
        </w:rPr>
        <w:t> </w:t>
      </w:r>
      <w:r>
        <w:rPr>
          <w:color w:val="6E6158"/>
        </w:rPr>
        <w:t>360,</w:t>
      </w:r>
      <w:r>
        <w:rPr>
          <w:color w:val="6E6158"/>
          <w:spacing w:val="33"/>
        </w:rPr>
        <w:t> </w:t>
      </w:r>
      <w:r>
        <w:rPr>
          <w:color w:val="6E6158"/>
        </w:rPr>
        <w:t>among</w:t>
      </w:r>
      <w:r>
        <w:rPr>
          <w:color w:val="6E6158"/>
          <w:spacing w:val="33"/>
        </w:rPr>
        <w:t> </w:t>
      </w:r>
      <w:r>
        <w:rPr>
          <w:color w:val="6E6158"/>
        </w:rPr>
        <w:t>others.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020"/>
      </w:pPr>
      <w:r>
        <w:rPr>
          <w:color w:val="6E6158"/>
        </w:rPr>
        <w:t>J.D., Baylor University B.S., University of </w:t>
      </w:r>
      <w:r>
        <w:rPr>
          <w:color w:val="6E6158"/>
        </w:rPr>
        <w:t>Texas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5"/>
        <w:ind w:left="0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Lawyers®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Ones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Watch</w:t>
      </w:r>
      <w:r>
        <w:rPr>
          <w:color w:val="6E6158"/>
          <w:sz w:val="19"/>
        </w:rPr>
        <w:t>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0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line="398" w:lineRule="auto" w:before="169"/>
        <w:ind w:left="99" w:right="3579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Lawyers®,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2019,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2022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2026 Texas </w:t>
      </w:r>
      <w:r>
        <w:rPr>
          <w:i/>
          <w:color w:val="6E6158"/>
          <w:sz w:val="20"/>
        </w:rPr>
        <w:t>Super Lawyers®, </w:t>
      </w:r>
      <w:r>
        <w:rPr>
          <w:color w:val="6E6158"/>
          <w:sz w:val="19"/>
        </w:rPr>
        <w:t>Rising Star, 2018</w:t>
      </w:r>
    </w:p>
    <w:p>
      <w:pPr>
        <w:pStyle w:val="Heading1"/>
        <w:spacing w:before="29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302" w:lineRule="auto"/>
        <w:ind w:right="156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“Advice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Male-Dominated</w:t>
      </w:r>
      <w:r>
        <w:rPr>
          <w:color w:val="6E6158"/>
          <w:spacing w:val="10"/>
        </w:rPr>
        <w:t> </w:t>
      </w:r>
      <w:r>
        <w:rPr>
          <w:color w:val="6E6158"/>
        </w:rPr>
        <w:t>Fields,”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01"/>
      </w:pPr>
      <w:r>
        <w:rPr>
          <w:color w:val="6E6158"/>
        </w:rPr>
        <w:t>Quoted, “Supreme Court Ruling Likely Spells the End for Vaccine-or-Test Federal Mandates at Large Businesses, But Numerous Caveats Apply”</w:t>
      </w:r>
    </w:p>
    <w:p>
      <w:pPr>
        <w:pStyle w:val="BodyText"/>
        <w:spacing w:before="131"/>
      </w:pP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Compliance</w:t>
      </w:r>
      <w:r>
        <w:rPr>
          <w:color w:val="6E6158"/>
          <w:spacing w:val="19"/>
        </w:rPr>
        <w:t> </w:t>
      </w:r>
      <w:r>
        <w:rPr>
          <w:color w:val="6E6158"/>
        </w:rPr>
        <w:t>Insights,</w:t>
      </w:r>
      <w:r>
        <w:rPr>
          <w:color w:val="6E6158"/>
          <w:spacing w:val="19"/>
        </w:rPr>
        <w:t> </w:t>
      </w:r>
      <w:r>
        <w:rPr>
          <w:color w:val="6E6158"/>
        </w:rPr>
        <w:t>January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401"/>
      </w:pPr>
      <w:r>
        <w:rPr>
          <w:color w:val="6E6158"/>
        </w:rPr>
        <w:t>Author, “OSHA’S Emergency Temporary Standard is Postponed Pending Review,” Firm Blog, January 2022</w:t>
      </w:r>
    </w:p>
    <w:p>
      <w:pPr>
        <w:pStyle w:val="BodyText"/>
        <w:spacing w:line="302" w:lineRule="auto" w:before="123"/>
        <w:ind w:right="401"/>
      </w:pPr>
      <w:r>
        <w:rPr>
          <w:color w:val="6E6158"/>
        </w:rPr>
        <w:t>Author, “Preparing To Meet OSHA’s Est Rulings Pending Court Ruling On Constitutionality,” </w:t>
      </w:r>
      <w:r>
        <w:rPr>
          <w:color w:val="6E6158"/>
        </w:rPr>
        <w:t>HR Legal &amp; Compliance, December 2021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does</w:t>
      </w:r>
      <w:r>
        <w:rPr>
          <w:color w:val="6E6158"/>
          <w:spacing w:val="10"/>
        </w:rPr>
        <w:t> </w:t>
      </w:r>
      <w:r>
        <w:rPr>
          <w:color w:val="6E6158"/>
        </w:rPr>
        <w:t>OSHA’s</w:t>
      </w:r>
      <w:r>
        <w:rPr>
          <w:color w:val="6E6158"/>
          <w:spacing w:val="10"/>
        </w:rPr>
        <w:t> </w:t>
      </w:r>
      <w:r>
        <w:rPr>
          <w:color w:val="6E6158"/>
        </w:rPr>
        <w:t>EST</w:t>
      </w:r>
      <w:r>
        <w:rPr>
          <w:color w:val="6E6158"/>
          <w:spacing w:val="9"/>
        </w:rPr>
        <w:t> </w:t>
      </w:r>
      <w:r>
        <w:rPr>
          <w:color w:val="6E6158"/>
        </w:rPr>
        <w:t>ruling</w:t>
      </w:r>
      <w:r>
        <w:rPr>
          <w:color w:val="6E6158"/>
          <w:spacing w:val="10"/>
        </w:rPr>
        <w:t> </w:t>
      </w:r>
      <w:r>
        <w:rPr>
          <w:color w:val="6E6158"/>
        </w:rPr>
        <w:t>mean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builders?”</w:t>
      </w:r>
      <w:r>
        <w:rPr>
          <w:color w:val="6E6158"/>
          <w:spacing w:val="10"/>
        </w:rPr>
        <w:t> </w:t>
      </w:r>
      <w:r>
        <w:rPr>
          <w:color w:val="6E6158"/>
        </w:rPr>
        <w:t>Colorado</w:t>
      </w:r>
      <w:r>
        <w:rPr>
          <w:color w:val="6E6158"/>
          <w:spacing w:val="9"/>
        </w:rPr>
        <w:t> </w:t>
      </w:r>
      <w:r>
        <w:rPr>
          <w:color w:val="6E6158"/>
        </w:rPr>
        <w:t>Builder,</w:t>
      </w:r>
      <w:r>
        <w:rPr>
          <w:color w:val="6E6158"/>
          <w:spacing w:val="10"/>
        </w:rPr>
        <w:t> </w:t>
      </w:r>
      <w:r>
        <w:rPr>
          <w:color w:val="6E6158"/>
        </w:rPr>
        <w:t>November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74"/>
        <w:ind w:right="401"/>
      </w:pPr>
      <w:r>
        <w:rPr>
          <w:color w:val="6E6158"/>
        </w:rPr>
        <w:t>Author, “Preparing to Meet OSHA’s EST Rulings Pending Court Ruling on Constitutionality,” </w:t>
      </w:r>
      <w:r>
        <w:rPr>
          <w:color w:val="6E6158"/>
        </w:rPr>
        <w:t>Law Week Colorado, November 2021</w:t>
      </w:r>
    </w:p>
    <w:p>
      <w:pPr>
        <w:pStyle w:val="BodyText"/>
        <w:spacing w:line="292" w:lineRule="auto" w:before="131"/>
      </w:pPr>
      <w:r>
        <w:rPr>
          <w:color w:val="6E6158"/>
        </w:rPr>
        <w:t>Author, “While Courts Consider OSHA’s Vaccine-or-Test Mandate ETS, Businesses Are Caught in Limbo,” Corporate Compliance Insights, November 2021</w:t>
      </w:r>
    </w:p>
    <w:p>
      <w:pPr>
        <w:pStyle w:val="BodyText"/>
        <w:spacing w:line="302" w:lineRule="auto" w:before="124"/>
      </w:pPr>
      <w:r>
        <w:rPr>
          <w:color w:val="6E6158"/>
        </w:rPr>
        <w:t>Co-author, “Silver Linings Provide Optimistic Future for Litigation Post-Pandemic,” </w:t>
      </w:r>
      <w:r>
        <w:rPr>
          <w:color w:val="6E6158"/>
        </w:rPr>
        <w:t>ColoradoBiz, September 2021</w:t>
      </w:r>
    </w:p>
    <w:p>
      <w:pPr>
        <w:pStyle w:val="BodyText"/>
        <w:spacing w:line="292" w:lineRule="auto" w:before="113"/>
        <w:ind w:right="226"/>
      </w:pPr>
      <w:r>
        <w:rPr>
          <w:color w:val="6E6158"/>
        </w:rPr>
        <w:t>Author, “Keep an Eye Out, Employers: The Colorado Legislature Proposed Changes to Colorado</w:t>
      </w:r>
      <w:r>
        <w:rPr>
          <w:color w:val="6E6158"/>
          <w:spacing w:val="40"/>
        </w:rPr>
        <w:t> </w:t>
      </w:r>
      <w:r>
        <w:rPr>
          <w:color w:val="6E6158"/>
        </w:rPr>
        <w:t>Anti-Discrimination Statute,” Law Week Colorado, May 2021</w:t>
      </w:r>
    </w:p>
    <w:p>
      <w:pPr>
        <w:pStyle w:val="BodyText"/>
        <w:spacing w:line="302" w:lineRule="auto" w:before="123"/>
        <w:ind w:right="401"/>
      </w:pPr>
      <w:r>
        <w:rPr>
          <w:color w:val="6E6158"/>
        </w:rPr>
        <w:t>Author, “8 Things You Need to Know About Employee Vaccinations,” Colorado Builder, March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13"/>
        <w:ind w:right="401"/>
      </w:pPr>
      <w:r>
        <w:rPr>
          <w:color w:val="6E6158"/>
        </w:rPr>
        <w:t>Co-author, “How the Pandemic Will Impact Litigation Beyond 2021,” ColoradoBiz, </w:t>
      </w:r>
      <w:r>
        <w:rPr>
          <w:color w:val="6E6158"/>
        </w:rPr>
        <w:t>December </w:t>
      </w:r>
      <w:r>
        <w:rPr>
          <w:color w:val="6E6158"/>
          <w:spacing w:val="-4"/>
        </w:rPr>
        <w:t>2020</w:t>
      </w:r>
    </w:p>
    <w:p>
      <w:pPr>
        <w:pStyle w:val="BodyText"/>
        <w:spacing w:before="123"/>
      </w:pP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“Identifying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Boundaries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Employer’s</w:t>
      </w:r>
      <w:r>
        <w:rPr>
          <w:color w:val="6E6158"/>
          <w:spacing w:val="10"/>
        </w:rPr>
        <w:t> </w:t>
      </w:r>
      <w:r>
        <w:rPr>
          <w:color w:val="6E6158"/>
        </w:rPr>
        <w:t>GPS</w:t>
      </w:r>
      <w:r>
        <w:rPr>
          <w:color w:val="6E6158"/>
          <w:spacing w:val="10"/>
        </w:rPr>
        <w:t> </w:t>
      </w:r>
      <w:r>
        <w:rPr>
          <w:color w:val="6E6158"/>
        </w:rPr>
        <w:t>Use,”</w:t>
      </w:r>
      <w:r>
        <w:rPr>
          <w:color w:val="6E6158"/>
          <w:spacing w:val="9"/>
        </w:rPr>
        <w:t> </w:t>
      </w:r>
      <w:r>
        <w:rPr>
          <w:color w:val="6E6158"/>
        </w:rPr>
        <w:t>Texas</w:t>
      </w:r>
      <w:r>
        <w:rPr>
          <w:color w:val="6E6158"/>
          <w:spacing w:val="10"/>
        </w:rPr>
        <w:t> </w:t>
      </w:r>
      <w:r>
        <w:rPr>
          <w:color w:val="6E6158"/>
        </w:rPr>
        <w:t>Lawyer,</w:t>
      </w:r>
      <w:r>
        <w:rPr>
          <w:color w:val="6E6158"/>
          <w:spacing w:val="9"/>
        </w:rPr>
        <w:t> </w:t>
      </w:r>
      <w:r>
        <w:rPr>
          <w:color w:val="6E6158"/>
        </w:rPr>
        <w:t>December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right="401"/>
      </w:pPr>
      <w:r>
        <w:rPr>
          <w:color w:val="6E6158"/>
        </w:rPr>
        <w:t>Quoted, “Wellness Programs Due for Privacy Scrutiny, Experts Say, ”HealthcareDive, </w:t>
      </w:r>
      <w:r>
        <w:rPr>
          <w:color w:val="6E6158"/>
        </w:rPr>
        <w:t>October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23"/>
      </w:pPr>
      <w:r>
        <w:rPr>
          <w:color w:val="6E6158"/>
        </w:rPr>
        <w:t>Quoted, “Employers take note: Americans with Disabilities Act payouts soaring in Texas,” </w:t>
      </w:r>
      <w:r>
        <w:rPr>
          <w:color w:val="6E6158"/>
        </w:rPr>
        <w:t>Dallas</w:t>
      </w:r>
      <w:r>
        <w:rPr>
          <w:color w:val="6E6158"/>
          <w:spacing w:val="40"/>
        </w:rPr>
        <w:t> </w:t>
      </w:r>
      <w:r>
        <w:rPr>
          <w:color w:val="6E6158"/>
        </w:rPr>
        <w:t>Business Journal, December 2014</w:t>
      </w:r>
    </w:p>
    <w:p>
      <w:pPr>
        <w:pStyle w:val="BodyText"/>
        <w:spacing w:line="292" w:lineRule="auto" w:before="132"/>
      </w:pPr>
      <w:r>
        <w:rPr>
          <w:color w:val="6E6158"/>
        </w:rPr>
        <w:t>Speaker, “Dealing with a Snap Chatterbox: Social Media Use in Litigation,” Texas Association of Defense Counsel Annual Meeting, September 2017</w:t>
      </w:r>
    </w:p>
    <w:p>
      <w:pPr>
        <w:pStyle w:val="BodyText"/>
        <w:spacing w:line="420" w:lineRule="auto" w:before="123"/>
        <w:ind w:right="878"/>
      </w:pPr>
      <w:r>
        <w:rPr>
          <w:color w:val="6E6158"/>
        </w:rPr>
        <w:t>Speaker, “The World of Veterinary Malpractice Claims,” Zurich Insurance, June </w:t>
      </w:r>
      <w:r>
        <w:rPr>
          <w:color w:val="6E6158"/>
        </w:rPr>
        <w:t>2017 Panelist, “Medical Malpractice isn’t Dead,” Dallas Bar Association CLE, 2016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56"/>
      </w:pPr>
      <w:r>
        <w:rPr>
          <w:color w:val="6E6158"/>
        </w:rPr>
        <w:t>Speaker, “Defending a Claim for Malpractice and Board Actions: Defense, Damages, and Success,” Zurich Insurance, September 2015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5740"/>
      </w:pPr>
      <w:r>
        <w:rPr>
          <w:color w:val="6E6158"/>
        </w:rPr>
        <w:t>Member, Colorado Bar </w:t>
      </w:r>
      <w:r>
        <w:rPr>
          <w:color w:val="6E6158"/>
        </w:rPr>
        <w:t>Association Junior League of Denver</w:t>
      </w:r>
    </w:p>
    <w:p>
      <w:pPr>
        <w:pStyle w:val="BodyText"/>
        <w:spacing w:line="422" w:lineRule="auto"/>
        <w:ind w:right="5740"/>
      </w:pPr>
      <w:r>
        <w:rPr>
          <w:color w:val="6E6158"/>
        </w:rPr>
        <w:t>Board Member, Mile High 360 Member, Texas Bar Association Member, American Bar </w:t>
      </w:r>
      <w:r>
        <w:rPr>
          <w:color w:val="6E6158"/>
        </w:rPr>
        <w:t>Association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 w:before="1"/>
        <w:ind w:right="8350"/>
        <w:jc w:val="both"/>
      </w:pPr>
      <w:r>
        <w:rPr>
          <w:color w:val="6E6158"/>
          <w:spacing w:val="-2"/>
        </w:rPr>
        <w:t>Colorado Montana Texas</w:t>
      </w:r>
    </w:p>
    <w:p>
      <w:pPr>
        <w:pStyle w:val="BodyText"/>
        <w:spacing w:line="232" w:lineRule="exact"/>
        <w:jc w:val="both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3"/>
      </w:pPr>
      <w:r>
        <w:rPr>
          <w:color w:val="6E6158"/>
        </w:rPr>
        <w:t>U.S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Northern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</w:rPr>
        <w:t>Southern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</w:rPr>
        <w:t>Western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braig@fennemorelaw.com" TargetMode="External"/><Relationship Id="rId11" Type="http://schemas.openxmlformats.org/officeDocument/2006/relationships/hyperlink" Target="https://www.fennemorelaw.com/business-contracts-in-2025-straightforward-answers-for-nuanced-situ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Caleena S. Braig - Fennemore</dc:title>
  <dcterms:created xsi:type="dcterms:W3CDTF">2026-06-12T09:52:29Z</dcterms:created>
  <dcterms:modified xsi:type="dcterms:W3CDTF">2026-06-12T09:52:29Z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