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5"/>
        <w:rPr>
          <w:rFonts w:ascii="Times New Roman"/>
        </w:rPr>
      </w:pPr>
    </w:p>
    <w:p>
      <w:pPr>
        <w:pStyle w:val="BodyText"/>
        <w:spacing w:line="295" w:lineRule="auto" w:before="1"/>
        <w:ind w:left="99" w:righ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-5303707</wp:posOffset>
                </wp:positionV>
                <wp:extent cx="6071870" cy="5212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212080"/>
                          <a:chExt cx="6071870" cy="5212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37788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arl Cioch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31920" y="763308"/>
                            <a:ext cx="12566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CARL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CIOCHON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510.622.7536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</w:p>
                            <w:p>
                              <w:pPr>
                                <w:spacing w:before="127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cciochon@fennemorelaw.com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4061255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8655" y="4231423"/>
                            <a:ext cx="355092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crawl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must;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up.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Karnazes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5023838"/>
                            <a:ext cx="14109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CARL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CIOCHON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4061255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17.614746pt;width:478.1pt;height:410.4pt;mso-position-horizontal-relative:page;mso-position-vertical-relative:paragraph;z-index:15728640" id="docshapegroup1" coordorigin="1336,-8352" coordsize="9562,820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8353;width:2165;height:424" type="#_x0000_t75" id="docshape3" alt="Fennemore" href="https://www.fennemorelaw.com/" stroked="false">
                  <v:imagedata r:id="rId5" o:title=""/>
                </v:shape>
                <v:shape style="position:absolute;left:1336;top:-7930;width:4785;height:5306" type="#_x0000_t75" id="docshape4" alt="Carl Ciochon" stroked="false">
                  <v:imagedata r:id="rId7" o:title=""/>
                </v:shape>
                <v:rect style="position:absolute;left:6121;top:-7930;width:4777;height:5306" id="docshape5" filled="true" fillcolor="#262424" stroked="false">
                  <v:fill type="solid"/>
                </v:rect>
                <v:shape style="position:absolute;left:6837;top:-5765;width:3337;height:505" id="docshape6" coordorigin="6837,-5765" coordsize="3337,505" path="m10174,-5268l6837,-5268,6837,-5260,10174,-5260,10174,-5268xm10174,-5765l6837,-5765,6837,-5756,10174,-5756,10174,-576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28;top:-7151;width:197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CARL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CIOCHON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993;width:3080;height:1526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510.622.7536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</w:p>
                      <w:p>
                        <w:pPr>
                          <w:spacing w:before="127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cciochon@fennemorelaw.com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7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689;width:559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walk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crawl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must;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up.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Karnazes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22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CARL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D.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CIOCHON</w:t>
                        </w:r>
                      </w:p>
                    </w:txbxContent>
                  </v:textbox>
                  <w10:wrap type="none"/>
                </v:shape>
                <v:shape style="position:absolute;left:8985;top:-1957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Carl has a diverse background as a trial lawyer, with a particular focus on real estate matters, business entity disputes, and representations involving investment funds. As a real estate litigator,</w:t>
      </w:r>
      <w:r>
        <w:rPr>
          <w:color w:val="6E6158"/>
          <w:spacing w:val="80"/>
        </w:rPr>
        <w:t> </w:t>
      </w:r>
      <w:r>
        <w:rPr>
          <w:color w:val="6E6158"/>
        </w:rPr>
        <w:t>he represents commercial landlords and tenants, developers and homebuilders, title and escrow</w:t>
      </w:r>
      <w:r>
        <w:rPr>
          <w:color w:val="6E6158"/>
          <w:spacing w:val="40"/>
        </w:rPr>
        <w:t> </w:t>
      </w:r>
      <w:r>
        <w:rPr>
          <w:color w:val="6E6158"/>
        </w:rPr>
        <w:t>companies, property managers, and purchasers and sellers of real property. Carl also has</w:t>
      </w:r>
      <w:r>
        <w:rPr>
          <w:color w:val="6E6158"/>
          <w:spacing w:val="40"/>
        </w:rPr>
        <w:t> </w:t>
      </w:r>
      <w:r>
        <w:rPr>
          <w:color w:val="6E6158"/>
        </w:rPr>
        <w:t>substantial experience in matters involving the ownership and management of business entities</w:t>
      </w:r>
      <w:r>
        <w:rPr>
          <w:color w:val="6E6158"/>
          <w:spacing w:val="40"/>
        </w:rPr>
        <w:t> </w:t>
      </w:r>
      <w:r>
        <w:rPr>
          <w:color w:val="6E6158"/>
        </w:rPr>
        <w:t>and investment funds, including prosecuting and defending breach of fiduciary duty claims. He</w:t>
      </w:r>
      <w:r>
        <w:rPr>
          <w:color w:val="6E6158"/>
          <w:spacing w:val="40"/>
        </w:rPr>
        <w:t> </w:t>
      </w:r>
      <w:r>
        <w:rPr>
          <w:color w:val="6E6158"/>
        </w:rPr>
        <w:t>previously</w:t>
      </w:r>
      <w:r>
        <w:rPr>
          <w:color w:val="6E6158"/>
          <w:spacing w:val="28"/>
        </w:rPr>
        <w:t> </w:t>
      </w:r>
      <w:r>
        <w:rPr>
          <w:color w:val="6E6158"/>
        </w:rPr>
        <w:t>served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General</w:t>
      </w:r>
      <w:r>
        <w:rPr>
          <w:color w:val="6E6158"/>
          <w:spacing w:val="28"/>
        </w:rPr>
        <w:t> </w:t>
      </w:r>
      <w:r>
        <w:rPr>
          <w:color w:val="6E6158"/>
        </w:rPr>
        <w:t>Counsel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$5</w:t>
      </w:r>
      <w:r>
        <w:rPr>
          <w:color w:val="6E6158"/>
          <w:spacing w:val="28"/>
        </w:rPr>
        <w:t> </w:t>
      </w:r>
      <w:r>
        <w:rPr>
          <w:color w:val="6E6158"/>
        </w:rPr>
        <w:t>billion</w:t>
      </w:r>
      <w:r>
        <w:rPr>
          <w:color w:val="6E6158"/>
          <w:spacing w:val="28"/>
        </w:rPr>
        <w:t> </w:t>
      </w:r>
      <w:r>
        <w:rPr>
          <w:color w:val="6E6158"/>
        </w:rPr>
        <w:t>SEC</w:t>
      </w:r>
      <w:r>
        <w:rPr>
          <w:color w:val="6E6158"/>
          <w:spacing w:val="28"/>
        </w:rPr>
        <w:t> </w:t>
      </w:r>
      <w:r>
        <w:rPr>
          <w:color w:val="6E6158"/>
        </w:rPr>
        <w:t>Registered</w:t>
      </w:r>
      <w:r>
        <w:rPr>
          <w:color w:val="6E6158"/>
          <w:spacing w:val="28"/>
        </w:rPr>
        <w:t> </w:t>
      </w:r>
      <w:r>
        <w:rPr>
          <w:color w:val="6E6158"/>
        </w:rPr>
        <w:t>Investment</w:t>
      </w:r>
      <w:r>
        <w:rPr>
          <w:color w:val="6E6158"/>
          <w:spacing w:val="28"/>
        </w:rPr>
        <w:t> </w:t>
      </w:r>
      <w:r>
        <w:rPr>
          <w:color w:val="6E6158"/>
        </w:rPr>
        <w:t>Adviser.</w:t>
      </w:r>
      <w:r>
        <w:rPr>
          <w:color w:val="6E6158"/>
          <w:spacing w:val="28"/>
        </w:rPr>
        <w:t> </w:t>
      </w:r>
      <w:r>
        <w:rPr>
          <w:color w:val="6E6158"/>
        </w:rPr>
        <w:t>Carl speaks frequently on subjects relating to his practice.</w:t>
      </w:r>
    </w:p>
    <w:p>
      <w:pPr>
        <w:pStyle w:val="BodyText"/>
        <w:spacing w:line="297" w:lineRule="auto" w:before="197"/>
        <w:ind w:left="99" w:right="418"/>
      </w:pPr>
      <w:r>
        <w:rPr>
          <w:color w:val="6E6158"/>
        </w:rPr>
        <w:t>Following law school, he clerked for the Hon. Richard M. Bilby, United States District Judge,</w:t>
      </w:r>
      <w:r>
        <w:rPr>
          <w:color w:val="6E6158"/>
          <w:spacing w:val="40"/>
        </w:rPr>
        <w:t> </w:t>
      </w:r>
      <w:r>
        <w:rPr>
          <w:color w:val="6E6158"/>
        </w:rPr>
        <w:t>District of Arizona. Carl is a competitive distance runner and completed seven </w:t>
      </w:r>
      <w:r>
        <w:rPr>
          <w:color w:val="6E6158"/>
        </w:rPr>
        <w:t>consecutive</w:t>
      </w:r>
      <w:r>
        <w:rPr>
          <w:color w:val="6E6158"/>
          <w:spacing w:val="40"/>
        </w:rPr>
        <w:t> </w:t>
      </w:r>
      <w:r>
        <w:rPr>
          <w:color w:val="6E6158"/>
        </w:rPr>
        <w:t>Boston Marathons from 2009 – 2015.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Francisco,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2"/>
        <w:ind w:left="99"/>
        <w:rPr>
          <w:i/>
          <w:sz w:val="20"/>
        </w:rPr>
      </w:pP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Los</w:t>
      </w:r>
      <w:r>
        <w:rPr>
          <w:color w:val="6E6158"/>
          <w:spacing w:val="9"/>
        </w:rPr>
        <w:t> </w:t>
      </w:r>
      <w:r>
        <w:rPr>
          <w:color w:val="6E6158"/>
        </w:rPr>
        <w:t>Angeles,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99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7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99" w:right="7038"/>
      </w:pPr>
      <w:r>
        <w:rPr>
          <w:color w:val="6E6158"/>
        </w:rPr>
        <w:t>Real Estate </w:t>
      </w:r>
      <w:r>
        <w:rPr>
          <w:color w:val="6E6158"/>
        </w:rPr>
        <w:t>Litigation Title Insurance</w:t>
      </w:r>
    </w:p>
    <w:p>
      <w:pPr>
        <w:pStyle w:val="BodyText"/>
        <w:spacing w:line="422" w:lineRule="auto" w:before="121"/>
        <w:ind w:left="99" w:right="7435"/>
      </w:pPr>
      <w:r>
        <w:rPr>
          <w:color w:val="6E6158"/>
        </w:rPr>
        <w:t>Business </w:t>
      </w:r>
      <w:r>
        <w:rPr>
          <w:color w:val="6E6158"/>
        </w:rPr>
        <w:t>Litigation Estate Litigation Real Estate</w:t>
      </w:r>
    </w:p>
    <w:p>
      <w:pPr>
        <w:pStyle w:val="Heading2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418"/>
      </w:pPr>
      <w:r>
        <w:rPr>
          <w:color w:val="6E6158"/>
        </w:rPr>
        <w:t>Obtained unanimous jury verdict in favor of commercial landlord in lease dispute with one of</w:t>
      </w:r>
      <w:r>
        <w:rPr>
          <w:color w:val="6E6158"/>
          <w:spacing w:val="40"/>
        </w:rPr>
        <w:t> </w:t>
      </w:r>
      <w:r>
        <w:rPr>
          <w:color w:val="6E6158"/>
        </w:rPr>
        <w:t>California’s largest cannabis companies.</w:t>
      </w:r>
    </w:p>
    <w:p>
      <w:pPr>
        <w:pStyle w:val="BodyText"/>
        <w:spacing w:line="292" w:lineRule="auto" w:before="132"/>
        <w:ind w:left="99" w:right="418"/>
      </w:pPr>
      <w:r>
        <w:rPr>
          <w:color w:val="6E6158"/>
        </w:rPr>
        <w:t>Obtained dismissal of lawsuit alleging that escrow holder owed duties to purchaser </w:t>
      </w:r>
      <w:r>
        <w:rPr>
          <w:color w:val="6E6158"/>
        </w:rPr>
        <w:t>beyond</w:t>
      </w:r>
      <w:r>
        <w:rPr>
          <w:color w:val="6E6158"/>
          <w:spacing w:val="40"/>
        </w:rPr>
        <w:t> </w:t>
      </w:r>
      <w:r>
        <w:rPr>
          <w:color w:val="6E6158"/>
        </w:rPr>
        <w:t>those specified in the escrow instructions.</w:t>
      </w:r>
    </w:p>
    <w:p>
      <w:pPr>
        <w:pStyle w:val="BodyText"/>
        <w:spacing w:line="292" w:lineRule="auto" w:before="123"/>
        <w:ind w:left="99" w:right="418"/>
      </w:pPr>
      <w:r>
        <w:rPr>
          <w:color w:val="6E6158"/>
        </w:rPr>
        <w:t>Successfully prosecuted claim that owner of apartment complex breached </w:t>
      </w:r>
      <w:r>
        <w:rPr>
          <w:color w:val="6E6158"/>
        </w:rPr>
        <w:t>development agreement by selling the property prior to completion of the project.</w:t>
      </w:r>
    </w:p>
    <w:p>
      <w:pPr>
        <w:pStyle w:val="BodyText"/>
        <w:spacing w:line="292" w:lineRule="auto" w:before="132"/>
        <w:ind w:left="99" w:right="726"/>
        <w:jc w:val="both"/>
      </w:pPr>
      <w:r>
        <w:rPr>
          <w:color w:val="6E6158"/>
        </w:rPr>
        <w:t>Obtained dismissal of federal RICO class action alleging that residential property </w:t>
      </w:r>
      <w:r>
        <w:rPr>
          <w:color w:val="6E6158"/>
        </w:rPr>
        <w:t>manager improperly withheld tenant security deposits. Subsequently settled related state court class action entirely through insurer contributions.</w:t>
      </w: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company.</w:t>
      </w:r>
    </w:p>
    <w:p>
      <w:pPr>
        <w:pStyle w:val="BodyText"/>
        <w:spacing w:line="292" w:lineRule="auto" w:before="182"/>
        <w:ind w:left="99" w:right="376"/>
      </w:pPr>
      <w:r>
        <w:rPr>
          <w:color w:val="6E6158"/>
        </w:rPr>
        <w:t>Tried to successful conclusion homebuilder’s claims against neighboring gun club for </w:t>
      </w:r>
      <w:r>
        <w:rPr>
          <w:color w:val="6E6158"/>
        </w:rPr>
        <w:t>trespass</w:t>
      </w:r>
      <w:r>
        <w:rPr>
          <w:color w:val="6E6158"/>
          <w:spacing w:val="40"/>
        </w:rPr>
        <w:t> </w:t>
      </w:r>
      <w:r>
        <w:rPr>
          <w:color w:val="6E6158"/>
        </w:rPr>
        <w:t>and nuisance, obtaining $2.3 million judgment and permanent injunctive relief. Successfully</w:t>
      </w:r>
      <w:r>
        <w:rPr>
          <w:color w:val="6E6158"/>
          <w:spacing w:val="40"/>
        </w:rPr>
        <w:t> </w:t>
      </w:r>
      <w:r>
        <w:rPr>
          <w:color w:val="6E6158"/>
        </w:rPr>
        <w:t>defended judgment on appeal.</w:t>
      </w:r>
    </w:p>
    <w:p>
      <w:pPr>
        <w:pStyle w:val="BodyText"/>
        <w:spacing w:line="302" w:lineRule="auto" w:before="124"/>
        <w:ind w:left="99" w:right="418"/>
      </w:pPr>
      <w:r>
        <w:rPr>
          <w:color w:val="6E6158"/>
        </w:rPr>
        <w:t>Obtained dismissal of extended family members’ claim to $60+ million share of proceeds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the sale of family business.</w:t>
      </w:r>
    </w:p>
    <w:p>
      <w:pPr>
        <w:pStyle w:val="BodyText"/>
        <w:spacing w:line="292" w:lineRule="auto" w:before="113"/>
        <w:ind w:left="99" w:right="418"/>
      </w:pPr>
      <w:r>
        <w:rPr>
          <w:color w:val="6E6158"/>
        </w:rPr>
        <w:t>In pro bono matter, won summary adjudication that hard-money lender’s loan to elderly widow</w:t>
      </w:r>
      <w:r>
        <w:rPr>
          <w:color w:val="6E6158"/>
          <w:spacing w:val="40"/>
        </w:rPr>
        <w:t> </w:t>
      </w:r>
      <w:r>
        <w:rPr>
          <w:color w:val="6E6158"/>
        </w:rPr>
        <w:t>violated California’s Anti-Predatory Lending Law.</w:t>
      </w:r>
    </w:p>
    <w:p>
      <w:pPr>
        <w:pStyle w:val="BodyText"/>
        <w:spacing w:line="302" w:lineRule="auto" w:before="123"/>
        <w:ind w:left="99" w:right="418"/>
      </w:pPr>
      <w:r>
        <w:rPr>
          <w:color w:val="6E6158"/>
        </w:rPr>
        <w:t>Obtained dismissal of lawsuit against national fitness center alleging breach of </w:t>
      </w:r>
      <w:r>
        <w:rPr>
          <w:color w:val="6E6158"/>
        </w:rPr>
        <w:t>purported contract to operate spa on fitness center premises.</w:t>
      </w:r>
    </w:p>
    <w:p>
      <w:pPr>
        <w:pStyle w:val="BodyText"/>
        <w:spacing w:line="292" w:lineRule="auto" w:before="113"/>
        <w:ind w:left="99" w:right="418"/>
      </w:pPr>
      <w:r>
        <w:rPr>
          <w:color w:val="6E6158"/>
        </w:rPr>
        <w:t>Procured emergency injunctive relief preventing state agency from improperly revoking </w:t>
      </w:r>
      <w:r>
        <w:rPr>
          <w:color w:val="6E6158"/>
        </w:rPr>
        <w:t>client’s</w:t>
      </w:r>
      <w:r>
        <w:rPr>
          <w:color w:val="6E6158"/>
          <w:spacing w:val="40"/>
        </w:rPr>
        <w:t> </w:t>
      </w:r>
      <w:r>
        <w:rPr>
          <w:color w:val="6E6158"/>
        </w:rPr>
        <w:t>approval to operate EMT training programs.</w:t>
      </w:r>
    </w:p>
    <w:p>
      <w:pPr>
        <w:pStyle w:val="BodyText"/>
        <w:spacing w:before="12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Lawyers®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72"/>
        <w:ind w:left="99"/>
      </w:pP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Francisco</w:t>
      </w:r>
      <w:r>
        <w:rPr>
          <w:color w:val="6E6158"/>
          <w:spacing w:val="10"/>
        </w:rPr>
        <w:t> </w:t>
      </w:r>
      <w:r>
        <w:rPr>
          <w:color w:val="6E6158"/>
        </w:rPr>
        <w:t>Lawyers’</w:t>
      </w:r>
      <w:r>
        <w:rPr>
          <w:color w:val="6E6158"/>
          <w:spacing w:val="11"/>
        </w:rPr>
        <w:t> </w:t>
      </w:r>
      <w:r>
        <w:rPr>
          <w:color w:val="6E6158"/>
        </w:rPr>
        <w:t>Committee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Rights,</w:t>
      </w:r>
      <w:r>
        <w:rPr>
          <w:color w:val="6E6158"/>
          <w:spacing w:val="10"/>
        </w:rPr>
        <w:t> </w:t>
      </w:r>
      <w:r>
        <w:rPr>
          <w:color w:val="6E6158"/>
        </w:rPr>
        <w:t>Keta</w:t>
      </w:r>
      <w:r>
        <w:rPr>
          <w:color w:val="6E6158"/>
          <w:spacing w:val="10"/>
        </w:rPr>
        <w:t> </w:t>
      </w:r>
      <w:r>
        <w:rPr>
          <w:color w:val="6E6158"/>
        </w:rPr>
        <w:t>Taylor</w:t>
      </w:r>
      <w:r>
        <w:rPr>
          <w:color w:val="6E6158"/>
          <w:spacing w:val="11"/>
        </w:rPr>
        <w:t> </w:t>
      </w:r>
      <w:r>
        <w:rPr>
          <w:color w:val="6E6158"/>
        </w:rPr>
        <w:t>Colby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1996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2047"/>
      </w:pPr>
      <w:r>
        <w:rPr>
          <w:color w:val="6E6158"/>
        </w:rPr>
        <w:t>Author, “Commercial Evictions in the Era of COVID-19”, JDSupra, June </w:t>
      </w:r>
      <w:r>
        <w:rPr>
          <w:color w:val="6E6158"/>
        </w:rPr>
        <w:t>2020 Presenter, “Guarantor Liability 2020,” Law PracticeCLE, February 2020 Presenter, “Guarantor Liability 101,” myLawCLE, February 2019</w:t>
      </w:r>
    </w:p>
    <w:p>
      <w:pPr>
        <w:pStyle w:val="BodyText"/>
        <w:spacing w:after="0" w:line="422" w:lineRule="auto"/>
        <w:sectPr>
          <w:pgSz w:w="12240" w:h="15840"/>
          <w:pgMar w:top="52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“Fundamental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Title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Conveyance,”</w:t>
      </w:r>
      <w:r>
        <w:rPr>
          <w:color w:val="6E6158"/>
          <w:spacing w:val="13"/>
        </w:rPr>
        <w:t> </w:t>
      </w:r>
      <w:r>
        <w:rPr>
          <w:color w:val="6E6158"/>
        </w:rPr>
        <w:t>myLawCLE,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left="99" w:right="418"/>
      </w:pPr>
      <w:r>
        <w:rPr>
          <w:color w:val="6E6158"/>
        </w:rPr>
        <w:t>Presenter, “It’s a Jungle Out There: Minimizing Litigation Risks in Your Commercial Real Estate Deals,” Wendel Rosen LLP, October 2017</w:t>
      </w:r>
    </w:p>
    <w:p>
      <w:pPr>
        <w:pStyle w:val="BodyText"/>
        <w:spacing w:before="113"/>
        <w:ind w:left="99"/>
      </w:pPr>
      <w:r>
        <w:rPr>
          <w:color w:val="6E6158"/>
        </w:rPr>
        <w:t>Presenter,</w:t>
      </w:r>
      <w:r>
        <w:rPr>
          <w:color w:val="6E6158"/>
          <w:spacing w:val="14"/>
        </w:rPr>
        <w:t> </w:t>
      </w:r>
      <w:r>
        <w:rPr>
          <w:color w:val="6E6158"/>
        </w:rPr>
        <w:t>“Guarantor</w:t>
      </w:r>
      <w:r>
        <w:rPr>
          <w:color w:val="6E6158"/>
          <w:spacing w:val="14"/>
        </w:rPr>
        <w:t> </w:t>
      </w:r>
      <w:r>
        <w:rPr>
          <w:color w:val="6E6158"/>
        </w:rPr>
        <w:t>Liability</w:t>
      </w:r>
      <w:r>
        <w:rPr>
          <w:color w:val="6E6158"/>
          <w:spacing w:val="14"/>
        </w:rPr>
        <w:t> </w:t>
      </w:r>
      <w:r>
        <w:rPr>
          <w:color w:val="6E6158"/>
        </w:rPr>
        <w:t>2017,”</w:t>
      </w:r>
      <w:r>
        <w:rPr>
          <w:color w:val="6E6158"/>
          <w:spacing w:val="14"/>
        </w:rPr>
        <w:t> </w:t>
      </w:r>
      <w:r>
        <w:rPr>
          <w:color w:val="6E6158"/>
        </w:rPr>
        <w:t>myLawCLE,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4652"/>
      </w:pPr>
      <w:r>
        <w:rPr>
          <w:color w:val="6E6158"/>
        </w:rPr>
        <w:t>Member, California Land Title </w:t>
      </w:r>
      <w:r>
        <w:rPr>
          <w:color w:val="6E6158"/>
        </w:rPr>
        <w:t>Association Member,</w:t>
      </w:r>
      <w:r>
        <w:rPr>
          <w:color w:val="6E6158"/>
          <w:spacing w:val="8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8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420" w:lineRule="auto" w:before="6"/>
        <w:ind w:left="99" w:right="418"/>
      </w:pPr>
      <w:r>
        <w:rPr>
          <w:color w:val="6E6158"/>
        </w:rPr>
        <w:t>Member, Former Executive Committee, Trial Practice Section, Alameda County Bar </w:t>
      </w:r>
      <w:r>
        <w:rPr>
          <w:color w:val="6E6158"/>
        </w:rPr>
        <w:t>Association Member, Board of Directors, Carma Technologies, Ltd.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72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71"/>
      </w:pPr>
    </w:p>
    <w:p>
      <w:pPr>
        <w:pStyle w:val="BodyText"/>
        <w:spacing w:before="1"/>
        <w:ind w:left="99"/>
      </w:pPr>
      <w:r>
        <w:rPr>
          <w:color w:val="6E6158"/>
        </w:rPr>
        <w:t>*Licensed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only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https://www.fennemorelaw.com/contact-us/phoenix/" TargetMode="External"/><Relationship Id="rId11" Type="http://schemas.openxmlformats.org/officeDocument/2006/relationships/hyperlink" Target="mailto:ccioch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D. Ciochon - Fennemore</dc:title>
  <dcterms:created xsi:type="dcterms:W3CDTF">2026-06-12T10:05:21Z</dcterms:created>
  <dcterms:modified xsi:type="dcterms:W3CDTF">2026-06-12T10:05:21Z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