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RL BLAIN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58451" y="1369338"/>
                            <a:ext cx="17932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239" h="320675">
                                <a:moveTo>
                                  <a:pt x="179306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93062" y="320382"/>
                                </a:lnTo>
                                <a:lnTo>
                                  <a:pt x="1793062" y="315214"/>
                                </a:lnTo>
                                <a:close/>
                              </a:path>
                              <a:path w="1793239" h="320675">
                                <a:moveTo>
                                  <a:pt x="1793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93062" y="5168"/>
                                </a:lnTo>
                                <a:lnTo>
                                  <a:pt x="1793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CARL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P.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BLAINE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84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cblaine@fennemorelaw.com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CARL BLAIN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61;top:2156;width:2824;height:505" id="docshape5" coordorigin="5761,2156" coordsize="2824,505" path="m8585,2653l5761,2653,5761,2661,8585,2661,8585,2653xm8585,2156l5761,2156,5761,2165,8585,2165,8585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CARL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P.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BLAINE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  <w:p>
                        <w:pPr>
                          <w:tabs>
                            <w:tab w:pos="1584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cblaine@fennemorelaw.com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7"/>
      </w:pPr>
      <w:r>
        <w:rPr>
          <w:color w:val="FF8100"/>
        </w:rPr>
        <w:t>CARL</w:t>
      </w:r>
      <w:r>
        <w:rPr>
          <w:color w:val="FF8100"/>
          <w:spacing w:val="5"/>
        </w:rPr>
        <w:t> </w:t>
      </w:r>
      <w:r>
        <w:rPr>
          <w:color w:val="FF8100"/>
        </w:rPr>
        <w:t>P.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BLAINE</w:t>
      </w:r>
    </w:p>
    <w:p>
      <w:pPr>
        <w:pStyle w:val="BodyText"/>
        <w:spacing w:line="297" w:lineRule="auto" w:before="147"/>
        <w:ind w:left="99" w:right="535" w:firstLine="0"/>
      </w:pPr>
      <w:r>
        <w:rPr>
          <w:color w:val="6E6158"/>
        </w:rPr>
        <w:t>Carl Blaine is a partner with 35 years of experience in federal and state litigation. His areas of</w:t>
      </w:r>
      <w:r>
        <w:rPr>
          <w:color w:val="6E6158"/>
          <w:spacing w:val="40"/>
        </w:rPr>
        <w:t> </w:t>
      </w:r>
      <w:r>
        <w:rPr>
          <w:color w:val="6E6158"/>
        </w:rPr>
        <w:t>expertise include business, partnership, corporate, real estate, fiduciary, probate and trust, </w:t>
      </w:r>
      <w:r>
        <w:rPr>
          <w:color w:val="6E6158"/>
        </w:rPr>
        <w:t>elder</w:t>
      </w:r>
      <w:r>
        <w:rPr>
          <w:color w:val="6E6158"/>
          <w:spacing w:val="40"/>
        </w:rPr>
        <w:t> </w:t>
      </w:r>
      <w:r>
        <w:rPr>
          <w:color w:val="6E6158"/>
        </w:rPr>
        <w:t>and dependent adult abuse, and tax litigation. He is also skilled in complex litigation, including</w:t>
      </w:r>
      <w:r>
        <w:rPr>
          <w:color w:val="6E6158"/>
          <w:spacing w:val="40"/>
        </w:rPr>
        <w:t> </w:t>
      </w:r>
      <w:r>
        <w:rPr>
          <w:color w:val="6E6158"/>
        </w:rPr>
        <w:t>class actions related to agricultural products, commercial, and consumer matters. Carl’s track</w:t>
      </w:r>
      <w:r>
        <w:rPr>
          <w:color w:val="6E6158"/>
          <w:spacing w:val="40"/>
        </w:rPr>
        <w:t> </w:t>
      </w:r>
      <w:r>
        <w:rPr>
          <w:color w:val="6E6158"/>
        </w:rPr>
        <w:t>record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successfully</w:t>
      </w:r>
      <w:r>
        <w:rPr>
          <w:color w:val="6E6158"/>
          <w:spacing w:val="27"/>
        </w:rPr>
        <w:t> </w:t>
      </w:r>
      <w:r>
        <w:rPr>
          <w:color w:val="6E6158"/>
        </w:rPr>
        <w:t>bringing</w:t>
      </w:r>
      <w:r>
        <w:rPr>
          <w:color w:val="6E6158"/>
          <w:spacing w:val="27"/>
        </w:rPr>
        <w:t> </w:t>
      </w:r>
      <w:r>
        <w:rPr>
          <w:color w:val="6E6158"/>
        </w:rPr>
        <w:t>numerous</w:t>
      </w:r>
      <w:r>
        <w:rPr>
          <w:color w:val="6E6158"/>
          <w:spacing w:val="27"/>
        </w:rPr>
        <w:t> </w:t>
      </w:r>
      <w:r>
        <w:rPr>
          <w:color w:val="6E6158"/>
        </w:rPr>
        <w:t>jury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court</w:t>
      </w:r>
      <w:r>
        <w:rPr>
          <w:color w:val="6E6158"/>
          <w:spacing w:val="27"/>
        </w:rPr>
        <w:t> </w:t>
      </w:r>
      <w:r>
        <w:rPr>
          <w:color w:val="6E6158"/>
        </w:rPr>
        <w:t>trials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verdict</w:t>
      </w:r>
      <w:r>
        <w:rPr>
          <w:color w:val="6E6158"/>
          <w:spacing w:val="27"/>
        </w:rPr>
        <w:t> </w:t>
      </w:r>
      <w:r>
        <w:rPr>
          <w:color w:val="6E6158"/>
        </w:rPr>
        <w:t>showcases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expertise.</w:t>
      </w:r>
    </w:p>
    <w:p>
      <w:pPr>
        <w:pStyle w:val="BodyText"/>
        <w:spacing w:line="292" w:lineRule="auto" w:before="191"/>
        <w:ind w:left="99" w:right="681" w:firstLine="0"/>
      </w:pPr>
      <w:r>
        <w:rPr>
          <w:color w:val="6E6158"/>
        </w:rPr>
        <w:t>Before joining the firm, Carl served as a law clerk to Presiding Justice George A. Brown of the</w:t>
      </w:r>
      <w:r>
        <w:rPr>
          <w:color w:val="6E6158"/>
          <w:spacing w:val="40"/>
        </w:rPr>
        <w:t> </w:t>
      </w:r>
      <w:r>
        <w:rPr>
          <w:color w:val="6E6158"/>
        </w:rPr>
        <w:t>California Court of Appeal and as Deputy District Attorney in San Luis Obispo County. His</w:t>
      </w:r>
      <w:r>
        <w:rPr>
          <w:color w:val="6E6158"/>
          <w:spacing w:val="40"/>
        </w:rPr>
        <w:t> </w:t>
      </w:r>
      <w:r>
        <w:rPr>
          <w:color w:val="6E6158"/>
        </w:rPr>
        <w:t>extensive</w:t>
      </w:r>
      <w:r>
        <w:rPr>
          <w:color w:val="6E6158"/>
          <w:spacing w:val="16"/>
        </w:rPr>
        <w:t> </w:t>
      </w:r>
      <w:r>
        <w:rPr>
          <w:color w:val="6E6158"/>
        </w:rPr>
        <w:t>background</w:t>
      </w:r>
      <w:r>
        <w:rPr>
          <w:color w:val="6E6158"/>
          <w:spacing w:val="16"/>
        </w:rPr>
        <w:t> </w:t>
      </w:r>
      <w:r>
        <w:rPr>
          <w:color w:val="6E6158"/>
        </w:rPr>
        <w:t>provides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solid</w:t>
      </w:r>
      <w:r>
        <w:rPr>
          <w:color w:val="6E6158"/>
          <w:spacing w:val="16"/>
        </w:rPr>
        <w:t> </w:t>
      </w:r>
      <w:r>
        <w:rPr>
          <w:color w:val="6E6158"/>
        </w:rPr>
        <w:t>foundation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his</w:t>
      </w:r>
      <w:r>
        <w:rPr>
          <w:color w:val="6E6158"/>
          <w:spacing w:val="16"/>
        </w:rPr>
        <w:t> </w:t>
      </w:r>
      <w:r>
        <w:rPr>
          <w:color w:val="6E6158"/>
        </w:rPr>
        <w:t>successful</w:t>
      </w:r>
      <w:r>
        <w:rPr>
          <w:color w:val="6E6158"/>
          <w:spacing w:val="16"/>
        </w:rPr>
        <w:t> </w:t>
      </w:r>
      <w:r>
        <w:rPr>
          <w:color w:val="6E6158"/>
        </w:rPr>
        <w:t>practice</w:t>
      </w:r>
      <w:r>
        <w:rPr>
          <w:color w:val="6E6158"/>
          <w:spacing w:val="16"/>
        </w:rPr>
        <w:t> </w:t>
      </w:r>
      <w:r>
        <w:rPr>
          <w:color w:val="6E6158"/>
        </w:rPr>
        <w:t>areas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litigation.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Harvard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Negotiation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Institute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(Certificate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Completion,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Mediating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Disputes)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Pacific,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McGeorge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Santa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Barbara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(High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Honors)</w:t>
      </w:r>
    </w:p>
    <w:p>
      <w:pPr>
        <w:pStyle w:val="BodyText"/>
        <w:spacing w:before="171"/>
        <w:ind w:left="0" w:firstLine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32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Elder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Abuse</w:t>
      </w:r>
    </w:p>
    <w:p>
      <w:pPr>
        <w:pStyle w:val="BodyText"/>
        <w:spacing w:before="62"/>
        <w:ind w:left="0" w:firstLine="0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Construction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Trusts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Estates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Planning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Traynor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Honor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Society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Preeminent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5.0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1616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1">
        <w:r>
          <w:rPr>
            <w:color w:val="F5821F"/>
            <w:sz w:val="19"/>
          </w:rPr>
          <w:t>What the FTC’s new noncompete rule means for California </w:t>
        </w:r>
        <w:r>
          <w:rPr>
            <w:color w:val="F5821F"/>
            <w:sz w:val="19"/>
          </w:rPr>
          <w:t>businesses</w:t>
        </w:r>
      </w:hyperlink>
      <w:r>
        <w:rPr>
          <w:color w:val="6E6158"/>
          <w:sz w:val="19"/>
        </w:rPr>
        <w:t>,” Sacramento Business Journal, August 8, 2024</w:t>
      </w:r>
    </w:p>
    <w:p>
      <w:pPr>
        <w:pStyle w:val="BodyText"/>
        <w:spacing w:before="102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5"/>
        <w:ind w:left="0" w:firstLin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Articles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9"/>
          <w:sz w:val="19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Review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Pacific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pacing w:val="-2"/>
          <w:sz w:val="20"/>
        </w:rPr>
        <w:t>Journal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President,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McGeorge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Alumni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Sacramento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Founding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Member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Sacramento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Zoological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Society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Served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Advisory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U.C.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Davis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Children’s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Hospital</w:t>
      </w:r>
    </w:p>
    <w:p>
      <w:pPr>
        <w:pStyle w:val="BodyText"/>
        <w:spacing w:before="171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Eastern,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Central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Court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9th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Central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Districts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cblaine@fennemorelaw.com" TargetMode="External"/><Relationship Id="rId11" Type="http://schemas.openxmlformats.org/officeDocument/2006/relationships/hyperlink" Target="https://www.bizjournals.com/sacramento/news/2024/08/08/ftc-noncompete-rule-california-businesses.html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P. Blaine - Fennemore</dc:title>
  <dcterms:created xsi:type="dcterms:W3CDTF">2026-06-05T13:33:35Z</dcterms:created>
  <dcterms:modified xsi:type="dcterms:W3CDTF">2026-06-05T13:33:35Z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