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36"/>
        <w:rPr>
          <w:rFonts w:ascii="Times New Roman"/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-3706182</wp:posOffset>
                </wp:positionV>
                <wp:extent cx="6071870" cy="363791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637915"/>
                          <a:chExt cx="6071870" cy="36379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Chris Scolari 0174website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33690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3369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3369310">
                                <a:moveTo>
                                  <a:pt x="3033212" y="3369087"/>
                                </a:moveTo>
                                <a:lnTo>
                                  <a:pt x="0" y="336908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33690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4024528" y="763308"/>
                            <a:ext cx="1071245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CHRIS</w:t>
                              </w:r>
                              <w:r>
                                <w:rPr>
                                  <w:color w:val="FFFFFF"/>
                                  <w:spacing w:val="-25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W. SCOLARI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Trusts &amp;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Estates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372353" y="2133494"/>
                            <a:ext cx="37592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Denver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303.813.3880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303.291.3201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405456" y="2603719"/>
                            <a:ext cx="30924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Basalt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582320" y="2763876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970.431.9060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750778" y="2763876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303.291.3201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3820258" y="2975766"/>
                            <a:ext cx="14795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1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cscolari@fennemorelaw.com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91.825378pt;width:478.1pt;height:286.45pt;mso-position-horizontal-relative:page;mso-position-vertical-relative:paragraph;z-index:15728640" id="docshapegroup1" coordorigin="1336,-5837" coordsize="9562,5729">
                <v:shape style="position:absolute;left:1336;top:-5837;width:2165;height:424" type="#_x0000_t75" id="docshape2" alt="Fennemore" href="https://www.fennemorelaw.com/" stroked="false">
                  <v:imagedata r:id="rId5" o:title=""/>
                </v:shape>
                <v:shape style="position:absolute;left:1336;top:-5414;width:4785;height:5306" type="#_x0000_t75" id="docshape3" alt="Chris Scolari 0174website" stroked="false">
                  <v:imagedata r:id="rId7" o:title=""/>
                </v:shape>
                <v:rect style="position:absolute;left:6121;top:-5414;width:4777;height:5306" id="docshape4" filled="true" fillcolor="#262424" stroked="false">
                  <v:fill type="solid"/>
                </v:rect>
                <v:shape style="position:absolute;left:6837;top:-3249;width:3337;height:505" id="docshape5" coordorigin="6837,-3249" coordsize="3337,505" path="m10174,-2752l6837,-2752,6837,-2744,10174,-2744,10174,-2752xm10174,-3249l6837,-3249,6837,-3241,10174,-3241,10174,-3249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674;top:-4635;width:1687;height:1731" type="#_x0000_t202" id="docshape6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CHRIS</w:t>
                        </w:r>
                        <w:r>
                          <w:rPr>
                            <w:color w:val="FFFFFF"/>
                            <w:spacing w:val="-25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W. SCOLARI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Trusts &amp;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Estates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221;top:-2477;width:592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Denver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2225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303.813.3880</w:t>
                        </w:r>
                      </w:p>
                    </w:txbxContent>
                  </v:textbox>
                  <w10:wrap type="none"/>
                </v:shape>
                <v:shape style="position:absolute;left:8817;top:-2225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303.291.3201</w:t>
                        </w:r>
                      </w:p>
                    </w:txbxContent>
                  </v:textbox>
                  <w10:wrap type="none"/>
                </v:shape>
                <v:shape style="position:absolute;left:8273;top:-1737;width:487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Basalt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1484;width:1258;height:210" type="#_x0000_t202" id="docshape11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970.431.9060</w:t>
                        </w:r>
                      </w:p>
                    </w:txbxContent>
                  </v:textbox>
                  <w10:wrap type="none"/>
                </v:shape>
                <v:shape style="position:absolute;left:8817;top:-1484;width:1240;height:210" type="#_x0000_t202" id="docshape12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303.291.3201</w:t>
                        </w:r>
                      </w:p>
                    </w:txbxContent>
                  </v:textbox>
                  <w10:wrap type="none"/>
                </v:shape>
                <v:shape style="position:absolute;left:7352;top:-1151;width:2330;height:200" type="#_x0000_t202" id="docshape13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1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cscolari@fennemorelaw.com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CHRIS</w:t>
      </w:r>
      <w:r>
        <w:rPr>
          <w:color w:val="FF8100"/>
          <w:spacing w:val="5"/>
        </w:rPr>
        <w:t> </w:t>
      </w:r>
      <w:r>
        <w:rPr>
          <w:color w:val="FF8100"/>
        </w:rPr>
        <w:t>W.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SCOLARI</w:t>
      </w:r>
    </w:p>
    <w:p>
      <w:pPr>
        <w:pStyle w:val="BodyText"/>
        <w:spacing w:line="295" w:lineRule="auto" w:before="147"/>
        <w:ind w:left="99" w:right="136"/>
      </w:pPr>
      <w:r>
        <w:rPr>
          <w:color w:val="6E6158"/>
        </w:rPr>
        <w:t>Chris Scolari is a trust and estates and corporate attorney with expertise in business planning and</w:t>
      </w:r>
      <w:r>
        <w:rPr>
          <w:color w:val="6E6158"/>
          <w:spacing w:val="40"/>
        </w:rPr>
        <w:t> </w:t>
      </w:r>
      <w:r>
        <w:rPr>
          <w:color w:val="6E6158"/>
        </w:rPr>
        <w:t>property law, including Colorado land and resource ownership and conveyance. In his practice,</w:t>
      </w:r>
      <w:r>
        <w:rPr>
          <w:color w:val="6E6158"/>
          <w:spacing w:val="40"/>
        </w:rPr>
        <w:t> </w:t>
      </w:r>
      <w:r>
        <w:rPr>
          <w:color w:val="6E6158"/>
        </w:rPr>
        <w:t>he is focused on working with individuals, business owners, and multi-generation families on an</w:t>
      </w:r>
      <w:r>
        <w:rPr>
          <w:color w:val="6E6158"/>
          <w:spacing w:val="40"/>
        </w:rPr>
        <w:t> </w:t>
      </w:r>
      <w:r>
        <w:rPr>
          <w:color w:val="6E6158"/>
        </w:rPr>
        <w:t>array of estate planning, estate administration, and probate matters ranging from the simple to</w:t>
      </w:r>
      <w:r>
        <w:rPr>
          <w:color w:val="6E6158"/>
          <w:spacing w:val="40"/>
        </w:rPr>
        <w:t> </w:t>
      </w:r>
      <w:r>
        <w:rPr>
          <w:color w:val="6E6158"/>
        </w:rPr>
        <w:t>complex,</w:t>
      </w:r>
      <w:r>
        <w:rPr>
          <w:color w:val="6E6158"/>
          <w:spacing w:val="26"/>
        </w:rPr>
        <w:t> </w:t>
      </w:r>
      <w:r>
        <w:rPr>
          <w:color w:val="6E6158"/>
        </w:rPr>
        <w:t>including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transfer</w:t>
      </w:r>
      <w:r>
        <w:rPr>
          <w:color w:val="6E6158"/>
          <w:spacing w:val="26"/>
        </w:rPr>
        <w:t> </w:t>
      </w:r>
      <w:r>
        <w:rPr>
          <w:color w:val="6E6158"/>
        </w:rPr>
        <w:t>of</w:t>
      </w:r>
      <w:r>
        <w:rPr>
          <w:color w:val="6E6158"/>
          <w:spacing w:val="26"/>
        </w:rPr>
        <w:t> </w:t>
      </w:r>
      <w:r>
        <w:rPr>
          <w:color w:val="6E6158"/>
        </w:rPr>
        <w:t>wealth</w:t>
      </w:r>
      <w:r>
        <w:rPr>
          <w:color w:val="6E6158"/>
          <w:spacing w:val="26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closely</w:t>
      </w:r>
      <w:r>
        <w:rPr>
          <w:color w:val="6E6158"/>
          <w:spacing w:val="26"/>
        </w:rPr>
        <w:t> </w:t>
      </w:r>
      <w:r>
        <w:rPr>
          <w:color w:val="6E6158"/>
        </w:rPr>
        <w:t>held</w:t>
      </w:r>
      <w:r>
        <w:rPr>
          <w:color w:val="6E6158"/>
          <w:spacing w:val="26"/>
        </w:rPr>
        <w:t> </w:t>
      </w:r>
      <w:r>
        <w:rPr>
          <w:color w:val="6E6158"/>
        </w:rPr>
        <w:t>businesses,</w:t>
      </w:r>
      <w:r>
        <w:rPr>
          <w:color w:val="6E6158"/>
          <w:spacing w:val="26"/>
        </w:rPr>
        <w:t> </w:t>
      </w:r>
      <w:r>
        <w:rPr>
          <w:color w:val="6E6158"/>
        </w:rPr>
        <w:t>as</w:t>
      </w:r>
      <w:r>
        <w:rPr>
          <w:color w:val="6E6158"/>
          <w:spacing w:val="26"/>
        </w:rPr>
        <w:t> </w:t>
      </w:r>
      <w:r>
        <w:rPr>
          <w:color w:val="6E6158"/>
        </w:rPr>
        <w:t>well</w:t>
      </w:r>
      <w:r>
        <w:rPr>
          <w:color w:val="6E6158"/>
          <w:spacing w:val="26"/>
        </w:rPr>
        <w:t> </w:t>
      </w:r>
      <w:r>
        <w:rPr>
          <w:color w:val="6E6158"/>
        </w:rPr>
        <w:t>as</w:t>
      </w:r>
      <w:r>
        <w:rPr>
          <w:color w:val="6E6158"/>
          <w:spacing w:val="26"/>
        </w:rPr>
        <w:t> </w:t>
      </w:r>
      <w:r>
        <w:rPr>
          <w:color w:val="6E6158"/>
        </w:rPr>
        <w:t>estate</w:t>
      </w:r>
      <w:r>
        <w:rPr>
          <w:color w:val="6E6158"/>
          <w:spacing w:val="26"/>
        </w:rPr>
        <w:t> </w:t>
      </w:r>
      <w:r>
        <w:rPr>
          <w:color w:val="6E6158"/>
        </w:rPr>
        <w:t>tax</w:t>
      </w:r>
      <w:r>
        <w:rPr>
          <w:color w:val="6E6158"/>
          <w:spacing w:val="26"/>
        </w:rPr>
        <w:t> </w:t>
      </w:r>
      <w:r>
        <w:rPr>
          <w:color w:val="6E6158"/>
        </w:rPr>
        <w:t>and</w:t>
      </w:r>
    </w:p>
    <w:p>
      <w:pPr>
        <w:pStyle w:val="BodyText"/>
        <w:spacing w:line="232" w:lineRule="exact"/>
        <w:ind w:left="99"/>
      </w:pPr>
      <w:r>
        <w:rPr>
          <w:color w:val="6E6158"/>
        </w:rPr>
        <w:t>gift</w:t>
      </w:r>
      <w:r>
        <w:rPr>
          <w:color w:val="6E6158"/>
          <w:spacing w:val="14"/>
        </w:rPr>
        <w:t> </w:t>
      </w:r>
      <w:r>
        <w:rPr>
          <w:color w:val="6E6158"/>
        </w:rPr>
        <w:t>planning,</w:t>
      </w:r>
      <w:r>
        <w:rPr>
          <w:color w:val="6E6158"/>
          <w:spacing w:val="14"/>
        </w:rPr>
        <w:t> </w:t>
      </w:r>
      <w:r>
        <w:rPr>
          <w:color w:val="6E6158"/>
        </w:rPr>
        <w:t>planned</w:t>
      </w:r>
      <w:r>
        <w:rPr>
          <w:color w:val="6E6158"/>
          <w:spacing w:val="15"/>
        </w:rPr>
        <w:t> </w:t>
      </w:r>
      <w:r>
        <w:rPr>
          <w:color w:val="6E6158"/>
        </w:rPr>
        <w:t>charitable</w:t>
      </w:r>
      <w:r>
        <w:rPr>
          <w:color w:val="6E6158"/>
          <w:spacing w:val="14"/>
        </w:rPr>
        <w:t> </w:t>
      </w:r>
      <w:r>
        <w:rPr>
          <w:color w:val="6E6158"/>
        </w:rPr>
        <w:t>giving,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supplemental</w:t>
      </w:r>
      <w:r>
        <w:rPr>
          <w:color w:val="6E6158"/>
          <w:spacing w:val="15"/>
        </w:rPr>
        <w:t> </w:t>
      </w:r>
      <w:r>
        <w:rPr>
          <w:color w:val="6E6158"/>
        </w:rPr>
        <w:t>needs</w:t>
      </w:r>
      <w:r>
        <w:rPr>
          <w:color w:val="6E6158"/>
          <w:spacing w:val="14"/>
        </w:rPr>
        <w:t> </w:t>
      </w:r>
      <w:r>
        <w:rPr>
          <w:color w:val="6E6158"/>
        </w:rPr>
        <w:t>trust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planning.</w:t>
      </w:r>
    </w:p>
    <w:p>
      <w:pPr>
        <w:pStyle w:val="BodyText"/>
        <w:spacing w:before="14"/>
      </w:pPr>
    </w:p>
    <w:p>
      <w:pPr>
        <w:pStyle w:val="BodyText"/>
        <w:spacing w:line="297" w:lineRule="auto"/>
        <w:ind w:left="99" w:right="378"/>
      </w:pPr>
      <w:r>
        <w:rPr>
          <w:color w:val="6E6158"/>
        </w:rPr>
        <w:t>Estate planning and wealth transfer can raise sensitive issues and questions, and Chris often</w:t>
      </w:r>
      <w:r>
        <w:rPr>
          <w:color w:val="6E6158"/>
          <w:spacing w:val="40"/>
        </w:rPr>
        <w:t> </w:t>
      </w:r>
      <w:r>
        <w:rPr>
          <w:color w:val="6E6158"/>
        </w:rPr>
        <w:t>works as both a legal advisor and trusted counselor, helping clients leverage legal tools to achieve their goals. He takes pride in finding practical and efficient options to achieve clients’</w:t>
      </w:r>
      <w:r>
        <w:rPr>
          <w:color w:val="6E6158"/>
          <w:spacing w:val="40"/>
        </w:rPr>
        <w:t> </w:t>
      </w:r>
      <w:r>
        <w:rPr>
          <w:color w:val="6E6158"/>
        </w:rPr>
        <w:t>objectives, and he actively works with other members of a client’s advisory team to achieve</w:t>
      </w:r>
      <w:r>
        <w:rPr>
          <w:color w:val="6E6158"/>
          <w:spacing w:val="40"/>
        </w:rPr>
        <w:t> </w:t>
      </w:r>
      <w:r>
        <w:rPr>
          <w:color w:val="6E6158"/>
        </w:rPr>
        <w:t>desired and cost-effective outcomes across multiple levels.</w:t>
      </w:r>
    </w:p>
    <w:p>
      <w:pPr>
        <w:pStyle w:val="BodyText"/>
        <w:spacing w:line="292" w:lineRule="auto" w:before="192"/>
        <w:ind w:left="99" w:right="378"/>
      </w:pPr>
      <w:r>
        <w:rPr>
          <w:color w:val="6E6158"/>
        </w:rPr>
        <w:t>Chris’ experience also includes other transactional matters such as drafting and </w:t>
      </w:r>
      <w:r>
        <w:rPr>
          <w:color w:val="6E6158"/>
        </w:rPr>
        <w:t>negotiating</w:t>
      </w:r>
      <w:r>
        <w:rPr>
          <w:color w:val="6E6158"/>
          <w:spacing w:val="40"/>
        </w:rPr>
        <w:t> </w:t>
      </w:r>
      <w:r>
        <w:rPr>
          <w:color w:val="6E6158"/>
        </w:rPr>
        <w:t>business</w:t>
      </w:r>
      <w:r>
        <w:rPr>
          <w:color w:val="6E6158"/>
          <w:spacing w:val="40"/>
        </w:rPr>
        <w:t> </w:t>
      </w:r>
      <w:r>
        <w:rPr>
          <w:color w:val="6E6158"/>
        </w:rPr>
        <w:t>contracts</w:t>
      </w:r>
      <w:r>
        <w:rPr>
          <w:color w:val="6E6158"/>
          <w:spacing w:val="40"/>
        </w:rPr>
        <w:t> </w:t>
      </w:r>
      <w:r>
        <w:rPr>
          <w:color w:val="6E6158"/>
        </w:rPr>
        <w:t>including</w:t>
      </w:r>
      <w:r>
        <w:rPr>
          <w:color w:val="6E6158"/>
          <w:spacing w:val="40"/>
        </w:rPr>
        <w:t> </w:t>
      </w:r>
      <w:r>
        <w:rPr>
          <w:color w:val="6E6158"/>
        </w:rPr>
        <w:t>governing</w:t>
      </w:r>
      <w:r>
        <w:rPr>
          <w:color w:val="6E6158"/>
          <w:spacing w:val="40"/>
        </w:rPr>
        <w:t> </w:t>
      </w:r>
      <w:r>
        <w:rPr>
          <w:color w:val="6E6158"/>
        </w:rPr>
        <w:t>documents,</w:t>
      </w:r>
      <w:r>
        <w:rPr>
          <w:color w:val="6E6158"/>
          <w:spacing w:val="40"/>
        </w:rPr>
        <w:t> </w:t>
      </w:r>
      <w:r>
        <w:rPr>
          <w:color w:val="6E6158"/>
        </w:rPr>
        <w:t>service</w:t>
      </w:r>
      <w:r>
        <w:rPr>
          <w:color w:val="6E6158"/>
          <w:spacing w:val="40"/>
        </w:rPr>
        <w:t> </w:t>
      </w:r>
      <w:r>
        <w:rPr>
          <w:color w:val="6E6158"/>
        </w:rPr>
        <w:t>agreements,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license</w:t>
      </w:r>
    </w:p>
    <w:p>
      <w:pPr>
        <w:pStyle w:val="BodyText"/>
        <w:spacing w:line="302" w:lineRule="auto" w:before="1"/>
        <w:ind w:left="99" w:right="378"/>
      </w:pPr>
      <w:r>
        <w:rPr>
          <w:color w:val="6E6158"/>
        </w:rPr>
        <w:t>agreements, as well as real property law, including Colorado land and resource ownership</w:t>
      </w:r>
      <w:r>
        <w:rPr>
          <w:color w:val="6E6158"/>
          <w:spacing w:val="40"/>
        </w:rPr>
        <w:t> </w:t>
      </w:r>
      <w:r>
        <w:rPr>
          <w:color w:val="6E6158"/>
        </w:rPr>
        <w:t>matters as well as related family ownership and conveyance issues.</w:t>
      </w:r>
    </w:p>
    <w:p>
      <w:pPr>
        <w:pStyle w:val="BodyText"/>
        <w:spacing w:line="292" w:lineRule="auto" w:before="186"/>
        <w:ind w:left="99" w:right="254"/>
      </w:pPr>
      <w:r>
        <w:rPr>
          <w:color w:val="6E6158"/>
        </w:rPr>
        <w:t>Chris is a member of the Colorado Bar Association’s Trusts and Estates Section and Tax Section</w:t>
      </w:r>
      <w:r>
        <w:rPr>
          <w:color w:val="6E6158"/>
          <w:spacing w:val="80"/>
        </w:rPr>
        <w:t> </w:t>
      </w:r>
      <w:r>
        <w:rPr>
          <w:color w:val="6E6158"/>
        </w:rPr>
        <w:t>and is currently pursuing a Master of Laws (LLM) degree in Taxation from the University of Denver, Sturm College of Law.</w:t>
      </w:r>
    </w:p>
    <w:p>
      <w:pPr>
        <w:pStyle w:val="BodyText"/>
        <w:spacing w:before="205"/>
        <w:ind w:left="99"/>
      </w:pPr>
      <w:r>
        <w:rPr>
          <w:color w:val="6E6158"/>
        </w:rPr>
        <w:t>Born</w:t>
      </w:r>
      <w:r>
        <w:rPr>
          <w:color w:val="6E6158"/>
          <w:spacing w:val="10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</w:rPr>
        <w:t>raised</w:t>
      </w:r>
      <w:r>
        <w:rPr>
          <w:color w:val="6E6158"/>
          <w:spacing w:val="10"/>
        </w:rPr>
        <w:t> </w:t>
      </w:r>
      <w:r>
        <w:rPr>
          <w:color w:val="6E6158"/>
        </w:rPr>
        <w:t>on</w:t>
      </w:r>
      <w:r>
        <w:rPr>
          <w:color w:val="6E6158"/>
          <w:spacing w:val="11"/>
        </w:rPr>
        <w:t> </w:t>
      </w:r>
      <w:r>
        <w:rPr>
          <w:color w:val="6E6158"/>
        </w:rPr>
        <w:t>Colorado’s</w:t>
      </w:r>
      <w:r>
        <w:rPr>
          <w:color w:val="6E6158"/>
          <w:spacing w:val="10"/>
        </w:rPr>
        <w:t> </w:t>
      </w:r>
      <w:r>
        <w:rPr>
          <w:color w:val="6E6158"/>
        </w:rPr>
        <w:t>Front</w:t>
      </w:r>
      <w:r>
        <w:rPr>
          <w:color w:val="6E6158"/>
          <w:spacing w:val="10"/>
        </w:rPr>
        <w:t> </w:t>
      </w:r>
      <w:r>
        <w:rPr>
          <w:color w:val="6E6158"/>
        </w:rPr>
        <w:t>Range,</w:t>
      </w:r>
      <w:r>
        <w:rPr>
          <w:color w:val="6E6158"/>
          <w:spacing w:val="10"/>
        </w:rPr>
        <w:t> </w:t>
      </w:r>
      <w:r>
        <w:rPr>
          <w:color w:val="6E6158"/>
        </w:rPr>
        <w:t>Chris</w:t>
      </w:r>
      <w:r>
        <w:rPr>
          <w:color w:val="6E6158"/>
          <w:spacing w:val="11"/>
        </w:rPr>
        <w:t> </w:t>
      </w:r>
      <w:r>
        <w:rPr>
          <w:color w:val="6E6158"/>
        </w:rPr>
        <w:t>is</w:t>
      </w:r>
      <w:r>
        <w:rPr>
          <w:color w:val="6E6158"/>
          <w:spacing w:val="10"/>
        </w:rPr>
        <w:t> </w:t>
      </w:r>
      <w:r>
        <w:rPr>
          <w:color w:val="6E6158"/>
        </w:rPr>
        <w:t>proud</w:t>
      </w:r>
      <w:r>
        <w:rPr>
          <w:color w:val="6E6158"/>
          <w:spacing w:val="10"/>
        </w:rPr>
        <w:t> </w:t>
      </w:r>
      <w:r>
        <w:rPr>
          <w:color w:val="6E6158"/>
        </w:rPr>
        <w:t>to</w:t>
      </w:r>
      <w:r>
        <w:rPr>
          <w:color w:val="6E6158"/>
          <w:spacing w:val="10"/>
        </w:rPr>
        <w:t> </w:t>
      </w:r>
      <w:r>
        <w:rPr>
          <w:color w:val="6E6158"/>
        </w:rPr>
        <w:t>serve</w:t>
      </w:r>
      <w:r>
        <w:rPr>
          <w:color w:val="6E6158"/>
          <w:spacing w:val="11"/>
        </w:rPr>
        <w:t> </w:t>
      </w:r>
      <w:r>
        <w:rPr>
          <w:color w:val="6E6158"/>
        </w:rPr>
        <w:t>members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local</w:t>
      </w:r>
    </w:p>
    <w:p>
      <w:pPr>
        <w:pStyle w:val="BodyText"/>
        <w:spacing w:line="292" w:lineRule="auto" w:before="52"/>
        <w:ind w:left="99" w:right="254"/>
      </w:pPr>
      <w:r>
        <w:rPr>
          <w:color w:val="6E6158"/>
        </w:rPr>
        <w:t>community.</w:t>
      </w:r>
      <w:r>
        <w:rPr>
          <w:color w:val="6E6158"/>
          <w:spacing w:val="25"/>
        </w:rPr>
        <w:t> </w:t>
      </w:r>
      <w:r>
        <w:rPr>
          <w:color w:val="6E6158"/>
        </w:rPr>
        <w:t>He</w:t>
      </w:r>
      <w:r>
        <w:rPr>
          <w:color w:val="6E6158"/>
          <w:spacing w:val="25"/>
        </w:rPr>
        <w:t> </w:t>
      </w:r>
      <w:r>
        <w:rPr>
          <w:color w:val="6E6158"/>
        </w:rPr>
        <w:t>knows</w:t>
      </w:r>
      <w:r>
        <w:rPr>
          <w:color w:val="6E6158"/>
          <w:spacing w:val="25"/>
        </w:rPr>
        <w:t> </w:t>
      </w:r>
      <w:r>
        <w:rPr>
          <w:color w:val="6E6158"/>
        </w:rPr>
        <w:t>that</w:t>
      </w:r>
      <w:r>
        <w:rPr>
          <w:color w:val="6E6158"/>
          <w:spacing w:val="25"/>
        </w:rPr>
        <w:t> </w:t>
      </w:r>
      <w:r>
        <w:rPr>
          <w:color w:val="6E6158"/>
        </w:rPr>
        <w:t>a</w:t>
      </w:r>
      <w:r>
        <w:rPr>
          <w:color w:val="6E6158"/>
          <w:spacing w:val="25"/>
        </w:rPr>
        <w:t> </w:t>
      </w:r>
      <w:r>
        <w:rPr>
          <w:color w:val="6E6158"/>
        </w:rPr>
        <w:t>smart,</w:t>
      </w:r>
      <w:r>
        <w:rPr>
          <w:color w:val="6E6158"/>
          <w:spacing w:val="25"/>
        </w:rPr>
        <w:t> </w:t>
      </w:r>
      <w:r>
        <w:rPr>
          <w:color w:val="6E6158"/>
        </w:rPr>
        <w:t>comprehensive</w:t>
      </w:r>
      <w:r>
        <w:rPr>
          <w:color w:val="6E6158"/>
          <w:spacing w:val="25"/>
        </w:rPr>
        <w:t> </w:t>
      </w:r>
      <w:r>
        <w:rPr>
          <w:color w:val="6E6158"/>
        </w:rPr>
        <w:t>estate</w:t>
      </w:r>
      <w:r>
        <w:rPr>
          <w:color w:val="6E6158"/>
          <w:spacing w:val="25"/>
        </w:rPr>
        <w:t> </w:t>
      </w:r>
      <w:r>
        <w:rPr>
          <w:color w:val="6E6158"/>
        </w:rPr>
        <w:t>plan</w:t>
      </w:r>
      <w:r>
        <w:rPr>
          <w:color w:val="6E6158"/>
          <w:spacing w:val="25"/>
        </w:rPr>
        <w:t> </w:t>
      </w:r>
      <w:r>
        <w:rPr>
          <w:color w:val="6E6158"/>
        </w:rPr>
        <w:t>is</w:t>
      </w:r>
      <w:r>
        <w:rPr>
          <w:color w:val="6E6158"/>
          <w:spacing w:val="25"/>
        </w:rPr>
        <w:t> </w:t>
      </w:r>
      <w:r>
        <w:rPr>
          <w:color w:val="6E6158"/>
        </w:rPr>
        <w:t>a</w:t>
      </w:r>
      <w:r>
        <w:rPr>
          <w:color w:val="6E6158"/>
          <w:spacing w:val="25"/>
        </w:rPr>
        <w:t> </w:t>
      </w:r>
      <w:r>
        <w:rPr>
          <w:color w:val="6E6158"/>
        </w:rPr>
        <w:t>vital</w:t>
      </w:r>
      <w:r>
        <w:rPr>
          <w:color w:val="6E6158"/>
          <w:spacing w:val="25"/>
        </w:rPr>
        <w:t> </w:t>
      </w:r>
      <w:r>
        <w:rPr>
          <w:color w:val="6E6158"/>
        </w:rPr>
        <w:t>tool</w:t>
      </w:r>
      <w:r>
        <w:rPr>
          <w:color w:val="6E6158"/>
          <w:spacing w:val="25"/>
        </w:rPr>
        <w:t> </w:t>
      </w:r>
      <w:r>
        <w:rPr>
          <w:color w:val="6E6158"/>
        </w:rPr>
        <w:t>that</w:t>
      </w:r>
      <w:r>
        <w:rPr>
          <w:color w:val="6E6158"/>
          <w:spacing w:val="25"/>
        </w:rPr>
        <w:t> </w:t>
      </w:r>
      <w:r>
        <w:rPr>
          <w:color w:val="6E6158"/>
        </w:rPr>
        <w:t>can</w:t>
      </w:r>
      <w:r>
        <w:rPr>
          <w:color w:val="6E6158"/>
          <w:spacing w:val="25"/>
        </w:rPr>
        <w:t> </w:t>
      </w:r>
      <w:r>
        <w:rPr>
          <w:color w:val="6E6158"/>
        </w:rPr>
        <w:t>and should grow and change to reflect a family’s changing circumstances. He is honored to be able</w:t>
      </w:r>
      <w:r>
        <w:rPr>
          <w:color w:val="6E6158"/>
          <w:spacing w:val="80"/>
        </w:rPr>
        <w:t> </w:t>
      </w:r>
      <w:r>
        <w:rPr>
          <w:color w:val="6E6158"/>
        </w:rPr>
        <w:t>to serve his clients and help them secure their legacies.</w:t>
      </w:r>
    </w:p>
    <w:p>
      <w:pPr>
        <w:pStyle w:val="Heading1"/>
        <w:spacing w:before="171"/>
      </w:pPr>
      <w:r>
        <w:rPr>
          <w:color w:val="FF8100"/>
          <w:spacing w:val="-2"/>
        </w:rPr>
        <w:t>EDUCATION</w:t>
      </w:r>
    </w:p>
    <w:p>
      <w:pPr>
        <w:pStyle w:val="BodyText"/>
        <w:spacing w:before="28"/>
        <w:rPr>
          <w:b/>
        </w:rPr>
      </w:pPr>
    </w:p>
    <w:p>
      <w:pPr>
        <w:pStyle w:val="BodyText"/>
        <w:ind w:left="99"/>
      </w:pPr>
      <w:r>
        <w:rPr>
          <w:color w:val="6E6158"/>
        </w:rPr>
        <w:t>J.D.,</w:t>
      </w:r>
      <w:r>
        <w:rPr>
          <w:color w:val="6E6158"/>
          <w:spacing w:val="10"/>
        </w:rPr>
        <w:t> </w:t>
      </w:r>
      <w:r>
        <w:rPr>
          <w:color w:val="6E6158"/>
        </w:rPr>
        <w:t>University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Denver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before="83"/>
        <w:ind w:left="99"/>
      </w:pPr>
      <w:r>
        <w:rPr>
          <w:color w:val="6E6158"/>
        </w:rPr>
        <w:t>B.A.,</w:t>
      </w:r>
      <w:r>
        <w:rPr>
          <w:color w:val="6E6158"/>
          <w:spacing w:val="10"/>
        </w:rPr>
        <w:t> </w:t>
      </w:r>
      <w:r>
        <w:rPr>
          <w:color w:val="6E6158"/>
        </w:rPr>
        <w:t>University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Kansas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8"/>
        <w:rPr>
          <w:b/>
        </w:rPr>
      </w:pPr>
    </w:p>
    <w:p>
      <w:pPr>
        <w:pStyle w:val="BodyText"/>
        <w:spacing w:line="427" w:lineRule="auto"/>
        <w:ind w:left="99" w:right="7639"/>
      </w:pPr>
      <w:r>
        <w:rPr>
          <w:color w:val="6E6158"/>
        </w:rPr>
        <w:t>Trusts</w:t>
      </w:r>
      <w:r>
        <w:rPr>
          <w:color w:val="6E6158"/>
          <w:spacing w:val="-3"/>
        </w:rPr>
        <w:t> </w:t>
      </w:r>
      <w:r>
        <w:rPr>
          <w:color w:val="6E6158"/>
        </w:rPr>
        <w:t>&amp;</w:t>
      </w:r>
      <w:r>
        <w:rPr>
          <w:color w:val="6E6158"/>
          <w:spacing w:val="-3"/>
        </w:rPr>
        <w:t> </w:t>
      </w:r>
      <w:r>
        <w:rPr>
          <w:color w:val="6E6158"/>
        </w:rPr>
        <w:t>Estates Tax Law</w:t>
      </w:r>
    </w:p>
    <w:p>
      <w:pPr>
        <w:pStyle w:val="BodyText"/>
        <w:spacing w:line="226" w:lineRule="exact"/>
        <w:ind w:left="99"/>
      </w:pPr>
      <w:r>
        <w:rPr>
          <w:color w:val="6E6158"/>
        </w:rPr>
        <w:t>Estate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Planning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MATTERS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line="302" w:lineRule="auto" w:before="1"/>
        <w:ind w:left="99"/>
      </w:pPr>
      <w:r>
        <w:rPr>
          <w:color w:val="6E6158"/>
        </w:rPr>
        <w:t>Designed and successfully sought court approval of supplemental needs trust to receive a </w:t>
      </w:r>
      <w:r>
        <w:rPr>
          <w:color w:val="6E6158"/>
        </w:rPr>
        <w:t>large</w:t>
      </w:r>
      <w:r>
        <w:rPr>
          <w:color w:val="6E6158"/>
          <w:spacing w:val="40"/>
        </w:rPr>
        <w:t> </w:t>
      </w:r>
      <w:r>
        <w:rPr>
          <w:color w:val="6E6158"/>
        </w:rPr>
        <w:t>judicial personal injury settlement on behalf of a disabled recipient and victim.</w:t>
      </w:r>
    </w:p>
    <w:p>
      <w:pPr>
        <w:pStyle w:val="BodyText"/>
        <w:spacing w:line="292" w:lineRule="auto" w:before="112"/>
        <w:ind w:left="99"/>
      </w:pPr>
      <w:r>
        <w:rPr>
          <w:color w:val="6E6158"/>
        </w:rPr>
        <w:t>Handled the probate and trust administration of multiple sizable estates, including those left </w:t>
      </w:r>
      <w:r>
        <w:rPr>
          <w:color w:val="6E6158"/>
        </w:rPr>
        <w:t>by</w:t>
      </w:r>
      <w:r>
        <w:rPr>
          <w:color w:val="6E6158"/>
          <w:spacing w:val="40"/>
        </w:rPr>
        <w:t> </w:t>
      </w:r>
      <w:r>
        <w:rPr>
          <w:color w:val="6E6158"/>
        </w:rPr>
        <w:t>Colorado philanthropist and Colorado art collectors.</w:t>
      </w:r>
    </w:p>
    <w:p>
      <w:pPr>
        <w:pStyle w:val="BodyText"/>
        <w:spacing w:line="302" w:lineRule="auto" w:before="124"/>
        <w:ind w:left="99" w:right="378"/>
      </w:pPr>
      <w:r>
        <w:rPr>
          <w:color w:val="6E6158"/>
        </w:rPr>
        <w:t>Assisted in intergenerational transfers of closely held businesses, maintaining company </w:t>
      </w:r>
      <w:r>
        <w:rPr>
          <w:color w:val="6E6158"/>
        </w:rPr>
        <w:t>viability</w:t>
      </w:r>
      <w:r>
        <w:rPr>
          <w:color w:val="6E6158"/>
          <w:spacing w:val="40"/>
        </w:rPr>
        <w:t> </w:t>
      </w:r>
      <w:r>
        <w:rPr>
          <w:color w:val="6E6158"/>
        </w:rPr>
        <w:t>and daily operations, while minimizing tax impacts.</w:t>
      </w:r>
    </w:p>
    <w:p>
      <w:pPr>
        <w:pStyle w:val="BodyText"/>
        <w:spacing w:line="292" w:lineRule="auto" w:before="112"/>
        <w:ind w:left="99" w:right="378"/>
      </w:pPr>
      <w:r>
        <w:rPr>
          <w:color w:val="6E6158"/>
        </w:rPr>
        <w:t>Created tax efficient trust and business ownership plan to facilitate the development </w:t>
      </w:r>
      <w:r>
        <w:rPr>
          <w:color w:val="6E6158"/>
        </w:rPr>
        <w:t>of innovative resource extraction company with family ownership.</w:t>
      </w:r>
    </w:p>
    <w:p>
      <w:pPr>
        <w:pStyle w:val="BodyText"/>
        <w:spacing w:before="113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AFFILIATIONS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line="427" w:lineRule="auto"/>
        <w:ind w:left="99" w:right="2953"/>
      </w:pPr>
      <w:r>
        <w:rPr>
          <w:color w:val="6E6158"/>
        </w:rPr>
        <w:t>Colorado Bar Association, Trusts &amp; Estates Section, Tax </w:t>
      </w:r>
      <w:r>
        <w:rPr>
          <w:color w:val="6E6158"/>
        </w:rPr>
        <w:t>Section Denver Bar Association</w:t>
      </w:r>
    </w:p>
    <w:p>
      <w:pPr>
        <w:pStyle w:val="BodyText"/>
        <w:spacing w:line="226" w:lineRule="exact"/>
        <w:ind w:left="99"/>
      </w:pPr>
      <w:r>
        <w:rPr>
          <w:color w:val="6E6158"/>
        </w:rPr>
        <w:t>Denver</w:t>
      </w:r>
      <w:r>
        <w:rPr>
          <w:color w:val="6E6158"/>
          <w:spacing w:val="14"/>
        </w:rPr>
        <w:t> </w:t>
      </w:r>
      <w:r>
        <w:rPr>
          <w:color w:val="6E6158"/>
        </w:rPr>
        <w:t>Estate</w:t>
      </w:r>
      <w:r>
        <w:rPr>
          <w:color w:val="6E6158"/>
          <w:spacing w:val="14"/>
        </w:rPr>
        <w:t> </w:t>
      </w:r>
      <w:r>
        <w:rPr>
          <w:color w:val="6E6158"/>
        </w:rPr>
        <w:t>Planning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Council</w:t>
      </w:r>
    </w:p>
    <w:p>
      <w:pPr>
        <w:pStyle w:val="BodyText"/>
        <w:spacing w:line="427" w:lineRule="auto" w:before="174"/>
        <w:ind w:left="99" w:right="4688"/>
      </w:pPr>
      <w:r>
        <w:rPr>
          <w:color w:val="6E6158"/>
        </w:rPr>
        <w:t>Rocky Mountain Estate Planning </w:t>
      </w:r>
      <w:r>
        <w:rPr>
          <w:color w:val="6E6158"/>
        </w:rPr>
        <w:t>Council Colorado Attorneys for the Arts</w:t>
      </w:r>
    </w:p>
    <w:p>
      <w:pPr>
        <w:pStyle w:val="Heading1"/>
        <w:spacing w:before="276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before="253"/>
        <w:ind w:left="99" w:right="0" w:firstLine="0"/>
        <w:jc w:val="left"/>
        <w:rPr>
          <w:sz w:val="19"/>
        </w:rPr>
      </w:pPr>
      <w:hyperlink r:id="rId12">
        <w:r>
          <w:rPr>
            <w:i/>
            <w:color w:val="F5821F"/>
            <w:sz w:val="20"/>
          </w:rPr>
          <w:t>Best</w:t>
        </w:r>
        <w:r>
          <w:rPr>
            <w:i/>
            <w:color w:val="F5821F"/>
            <w:spacing w:val="-6"/>
            <w:sz w:val="20"/>
          </w:rPr>
          <w:t> </w:t>
        </w:r>
        <w:r>
          <w:rPr>
            <w:i/>
            <w:color w:val="F5821F"/>
            <w:sz w:val="20"/>
          </w:rPr>
          <w:t>Lawyers</w:t>
        </w:r>
        <w:r>
          <w:rPr>
            <w:i/>
            <w:color w:val="F5821F"/>
            <w:spacing w:val="-6"/>
            <w:sz w:val="20"/>
          </w:rPr>
          <w:t> </w:t>
        </w:r>
        <w:r>
          <w:rPr>
            <w:i/>
            <w:color w:val="F5821F"/>
            <w:sz w:val="20"/>
          </w:rPr>
          <w:t>in</w:t>
        </w:r>
        <w:r>
          <w:rPr>
            <w:i/>
            <w:color w:val="F5821F"/>
            <w:spacing w:val="-6"/>
            <w:sz w:val="20"/>
          </w:rPr>
          <w:t> </w:t>
        </w:r>
        <w:r>
          <w:rPr>
            <w:i/>
            <w:color w:val="F5821F"/>
            <w:sz w:val="20"/>
          </w:rPr>
          <w:t>America</w:t>
        </w:r>
        <w:r>
          <w:rPr>
            <w:i/>
            <w:color w:val="F5821F"/>
            <w:position w:val="7"/>
            <w:sz w:val="16"/>
          </w:rPr>
          <w:t>®</w:t>
        </w:r>
        <w:r>
          <w:rPr>
            <w:i/>
            <w:color w:val="F5821F"/>
            <w:sz w:val="20"/>
          </w:rPr>
          <w:t>,</w:t>
        </w:r>
      </w:hyperlink>
      <w:r>
        <w:rPr>
          <w:i/>
          <w:color w:val="F5821F"/>
          <w:spacing w:val="-5"/>
          <w:sz w:val="20"/>
        </w:rPr>
        <w:t> </w:t>
      </w:r>
      <w:hyperlink r:id="rId12">
        <w:r>
          <w:rPr>
            <w:color w:val="F5821F"/>
            <w:sz w:val="19"/>
          </w:rPr>
          <w:t>Tax</w:t>
        </w:r>
        <w:r>
          <w:rPr>
            <w:color w:val="F5821F"/>
            <w:spacing w:val="-3"/>
            <w:sz w:val="19"/>
          </w:rPr>
          <w:t> </w:t>
        </w:r>
        <w:r>
          <w:rPr>
            <w:color w:val="F5821F"/>
            <w:sz w:val="19"/>
          </w:rPr>
          <w:t>Law,</w:t>
        </w:r>
        <w:r>
          <w:rPr>
            <w:color w:val="F5821F"/>
            <w:spacing w:val="48"/>
            <w:sz w:val="19"/>
          </w:rPr>
          <w:t> </w:t>
        </w:r>
        <w:r>
          <w:rPr>
            <w:color w:val="F5821F"/>
            <w:sz w:val="19"/>
          </w:rPr>
          <w:t>Trusts</w:t>
        </w:r>
        <w:r>
          <w:rPr>
            <w:color w:val="F5821F"/>
            <w:spacing w:val="-3"/>
            <w:sz w:val="19"/>
          </w:rPr>
          <w:t> </w:t>
        </w:r>
        <w:r>
          <w:rPr>
            <w:color w:val="F5821F"/>
            <w:sz w:val="19"/>
          </w:rPr>
          <w:t>and</w:t>
        </w:r>
        <w:r>
          <w:rPr>
            <w:color w:val="F5821F"/>
            <w:spacing w:val="-3"/>
            <w:sz w:val="19"/>
          </w:rPr>
          <w:t> </w:t>
        </w:r>
        <w:r>
          <w:rPr>
            <w:color w:val="F5821F"/>
            <w:sz w:val="19"/>
          </w:rPr>
          <w:t>Estates,</w:t>
        </w:r>
        <w:r>
          <w:rPr>
            <w:color w:val="F5821F"/>
            <w:spacing w:val="-2"/>
            <w:sz w:val="19"/>
          </w:rPr>
          <w:t> </w:t>
        </w:r>
        <w:r>
          <w:rPr>
            <w:color w:val="F5821F"/>
            <w:spacing w:val="-4"/>
            <w:sz w:val="19"/>
          </w:rPr>
          <w:t>2026</w:t>
        </w:r>
      </w:hyperlink>
    </w:p>
    <w:p>
      <w:pPr>
        <w:spacing w:before="165"/>
        <w:ind w:left="99" w:right="0" w:firstLine="0"/>
        <w:jc w:val="left"/>
        <w:rPr>
          <w:sz w:val="19"/>
        </w:rPr>
      </w:pPr>
      <w:hyperlink r:id="rId12">
        <w:r>
          <w:rPr>
            <w:i/>
            <w:color w:val="F5821F"/>
            <w:sz w:val="20"/>
          </w:rPr>
          <w:t>Best</w:t>
        </w:r>
        <w:r>
          <w:rPr>
            <w:i/>
            <w:color w:val="F5821F"/>
            <w:spacing w:val="-4"/>
            <w:sz w:val="20"/>
          </w:rPr>
          <w:t> </w:t>
        </w:r>
        <w:r>
          <w:rPr>
            <w:i/>
            <w:color w:val="F5821F"/>
            <w:sz w:val="20"/>
          </w:rPr>
          <w:t>Lawyers</w:t>
        </w:r>
        <w:r>
          <w:rPr>
            <w:i/>
            <w:color w:val="F5821F"/>
            <w:spacing w:val="-3"/>
            <w:sz w:val="20"/>
          </w:rPr>
          <w:t> </w:t>
        </w:r>
        <w:r>
          <w:rPr>
            <w:i/>
            <w:color w:val="F5821F"/>
            <w:sz w:val="20"/>
          </w:rPr>
          <w:t>in</w:t>
        </w:r>
        <w:r>
          <w:rPr>
            <w:i/>
            <w:color w:val="F5821F"/>
            <w:spacing w:val="-4"/>
            <w:sz w:val="20"/>
          </w:rPr>
          <w:t> </w:t>
        </w:r>
        <w:r>
          <w:rPr>
            <w:i/>
            <w:color w:val="F5821F"/>
            <w:sz w:val="20"/>
          </w:rPr>
          <w:t>America</w:t>
        </w:r>
        <w:r>
          <w:rPr>
            <w:i/>
            <w:color w:val="F5821F"/>
            <w:position w:val="7"/>
            <w:sz w:val="16"/>
          </w:rPr>
          <w:t>®</w:t>
        </w:r>
        <w:r>
          <w:rPr>
            <w:i/>
            <w:color w:val="F5821F"/>
            <w:sz w:val="20"/>
          </w:rPr>
          <w:t>,</w:t>
        </w:r>
      </w:hyperlink>
      <w:r>
        <w:rPr>
          <w:i/>
          <w:color w:val="F5821F"/>
          <w:spacing w:val="-3"/>
          <w:sz w:val="20"/>
        </w:rPr>
        <w:t> </w:t>
      </w:r>
      <w:hyperlink r:id="rId12">
        <w:r>
          <w:rPr>
            <w:color w:val="F5821F"/>
            <w:sz w:val="19"/>
          </w:rPr>
          <w:t>Ones</w:t>
        </w:r>
        <w:r>
          <w:rPr>
            <w:color w:val="F5821F"/>
            <w:spacing w:val="-1"/>
            <w:sz w:val="19"/>
          </w:rPr>
          <w:t> </w:t>
        </w:r>
        <w:r>
          <w:rPr>
            <w:color w:val="F5821F"/>
            <w:sz w:val="19"/>
          </w:rPr>
          <w:t>to Watch, Trusts</w:t>
        </w:r>
        <w:r>
          <w:rPr>
            <w:color w:val="F5821F"/>
            <w:spacing w:val="-1"/>
            <w:sz w:val="19"/>
          </w:rPr>
          <w:t> </w:t>
        </w:r>
        <w:r>
          <w:rPr>
            <w:color w:val="F5821F"/>
            <w:sz w:val="19"/>
          </w:rPr>
          <w:t>and Estates,</w:t>
        </w:r>
        <w:r>
          <w:rPr>
            <w:color w:val="F5821F"/>
            <w:spacing w:val="-1"/>
            <w:sz w:val="19"/>
          </w:rPr>
          <w:t> </w:t>
        </w:r>
        <w:r>
          <w:rPr>
            <w:color w:val="F5821F"/>
            <w:sz w:val="19"/>
          </w:rPr>
          <w:t>2023-</w:t>
        </w:r>
        <w:r>
          <w:rPr>
            <w:color w:val="F5821F"/>
            <w:spacing w:val="-4"/>
            <w:sz w:val="19"/>
          </w:rPr>
          <w:t>2025</w:t>
        </w:r>
      </w:hyperlink>
    </w:p>
    <w:p>
      <w:pPr>
        <w:pStyle w:val="BodyText"/>
        <w:spacing w:before="161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35"/>
        <w:rPr>
          <w:b/>
        </w:rPr>
      </w:pPr>
    </w:p>
    <w:p>
      <w:pPr>
        <w:pStyle w:val="BodyText"/>
        <w:spacing w:line="292" w:lineRule="auto"/>
        <w:ind w:left="99"/>
      </w:pPr>
      <w:r>
        <w:rPr>
          <w:color w:val="6E6158"/>
        </w:rPr>
        <w:t>Co-Presenter, “Oh, No, You Deedn’t – The Real State of Real Estate Fraud in Decedent Estates,” Colorado Bar Association Estate Planning Retreat, June 2023</w:t>
      </w:r>
    </w:p>
    <w:p>
      <w:pPr>
        <w:pStyle w:val="BodyText"/>
        <w:spacing w:line="292" w:lineRule="auto" w:before="124"/>
        <w:ind w:left="99" w:right="378"/>
      </w:pPr>
      <w:r>
        <w:rPr>
          <w:color w:val="6E6158"/>
        </w:rPr>
        <w:t>Co-Presenter, </w:t>
      </w:r>
      <w:hyperlink r:id="rId13">
        <w:r>
          <w:rPr>
            <w:color w:val="F5821F"/>
          </w:rPr>
          <w:t>“Comments to the Inflation Reduction Act,”</w:t>
        </w:r>
      </w:hyperlink>
      <w:r>
        <w:rPr>
          <w:color w:val="F5821F"/>
        </w:rPr>
        <w:t> </w:t>
      </w:r>
      <w:r>
        <w:rPr>
          <w:color w:val="6E6158"/>
        </w:rPr>
        <w:t>Internal Revenue Service, </w:t>
      </w:r>
      <w:r>
        <w:rPr>
          <w:color w:val="6E6158"/>
        </w:rPr>
        <w:t>November </w:t>
      </w:r>
      <w:r>
        <w:rPr>
          <w:color w:val="6E6158"/>
          <w:spacing w:val="-4"/>
        </w:rPr>
        <w:t>2022</w:t>
      </w:r>
    </w:p>
    <w:p>
      <w:pPr>
        <w:pStyle w:val="BodyText"/>
        <w:spacing w:line="292" w:lineRule="auto" w:before="131"/>
        <w:ind w:left="99" w:right="378"/>
      </w:pPr>
      <w:r>
        <w:rPr>
          <w:color w:val="6E6158"/>
        </w:rPr>
        <w:t>Author, </w:t>
      </w:r>
      <w:hyperlink r:id="rId14">
        <w:r>
          <w:rPr>
            <w:color w:val="F5821F"/>
          </w:rPr>
          <w:t>“W. Virginia: Commercial, Economic Impacts &amp; Implications,”</w:t>
        </w:r>
      </w:hyperlink>
      <w:r>
        <w:rPr>
          <w:color w:val="F5821F"/>
        </w:rPr>
        <w:t> </w:t>
      </w:r>
      <w:r>
        <w:rPr>
          <w:color w:val="6E6158"/>
        </w:rPr>
        <w:t>Colorado Real Estate Journal, October 2022</w:t>
      </w:r>
    </w:p>
    <w:p>
      <w:pPr>
        <w:pStyle w:val="BodyText"/>
        <w:spacing w:line="292" w:lineRule="auto" w:before="123"/>
        <w:ind w:left="99" w:right="378"/>
      </w:pPr>
      <w:r>
        <w:rPr>
          <w:color w:val="6E6158"/>
        </w:rPr>
        <w:t>Presenter, “Lifetime Retirement Planning” and “Lifetime Financial Planning,” 67th </w:t>
      </w:r>
      <w:r>
        <w:rPr>
          <w:color w:val="6E6158"/>
        </w:rPr>
        <w:t>Annual Employee Benefits Conference, October 2021</w:t>
      </w:r>
    </w:p>
    <w:p>
      <w:pPr>
        <w:pStyle w:val="BodyText"/>
        <w:spacing w:after="0" w:line="29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3"/>
        <w:ind w:left="99" w:right="378"/>
      </w:pPr>
      <w:r>
        <w:rPr>
          <w:color w:val="6E6158"/>
        </w:rPr>
        <w:t>Co-Author, </w:t>
      </w:r>
      <w:hyperlink r:id="rId15">
        <w:r>
          <w:rPr>
            <w:color w:val="F5821F"/>
          </w:rPr>
          <w:t>“Proposed Changes to the Federal Tax Law and Their Potential Impact on Existing</w:t>
        </w:r>
      </w:hyperlink>
      <w:r>
        <w:rPr>
          <w:color w:val="F5821F"/>
        </w:rPr>
        <w:t> </w:t>
      </w:r>
      <w:hyperlink r:id="rId15">
        <w:r>
          <w:rPr>
            <w:color w:val="F5821F"/>
          </w:rPr>
          <w:t>Estate Plans,”</w:t>
        </w:r>
      </w:hyperlink>
      <w:r>
        <w:rPr>
          <w:color w:val="F5821F"/>
        </w:rPr>
        <w:t> </w:t>
      </w:r>
      <w:r>
        <w:rPr>
          <w:color w:val="6E6158"/>
        </w:rPr>
        <w:t>Firm Blog, October 2021</w:t>
      </w:r>
    </w:p>
    <w:p>
      <w:pPr>
        <w:pStyle w:val="BodyText"/>
        <w:spacing w:before="121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rPr>
          <w:b/>
        </w:rPr>
      </w:pPr>
    </w:p>
    <w:p>
      <w:pPr>
        <w:pStyle w:val="BodyText"/>
        <w:ind w:left="99"/>
      </w:pPr>
      <w:r>
        <w:rPr>
          <w:color w:val="6E6158"/>
          <w:spacing w:val="-2"/>
        </w:rPr>
        <w:t>Colorado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trusts-estates/" TargetMode="External"/><Relationship Id="rId9" Type="http://schemas.openxmlformats.org/officeDocument/2006/relationships/hyperlink" Target="https://www.fennemorelaw.com/contact-us/denver-2/" TargetMode="External"/><Relationship Id="rId10" Type="http://schemas.openxmlformats.org/officeDocument/2006/relationships/hyperlink" Target="https://www.fennemorelaw.com/contact-us/basalt/" TargetMode="External"/><Relationship Id="rId11" Type="http://schemas.openxmlformats.org/officeDocument/2006/relationships/hyperlink" Target="mailto:cscolari@fennemorelaw.com" TargetMode="External"/><Relationship Id="rId12" Type="http://schemas.openxmlformats.org/officeDocument/2006/relationships/hyperlink" Target="https://www.bestlawyers.com/lawyers/christopher-scolari/352799" TargetMode="External"/><Relationship Id="rId13" Type="http://schemas.openxmlformats.org/officeDocument/2006/relationships/hyperlink" Target="https://www.regulations.gov/comment/IRS-2022-0025-0194" TargetMode="External"/><Relationship Id="rId14" Type="http://schemas.openxmlformats.org/officeDocument/2006/relationships/hyperlink" Target="https://www.moyewhite.com/news-insights/blog/october-2022/w-virginia-commercial%2C-economic-impacts-implicatio" TargetMode="External"/><Relationship Id="rId15" Type="http://schemas.openxmlformats.org/officeDocument/2006/relationships/hyperlink" Target="https://www.moyewhite.com/news-insights/blog/october-202/proposed-changes-to-the-federal-tax-law-and-their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 W. Scolari - Fennemore</dc:title>
  <dcterms:created xsi:type="dcterms:W3CDTF">2026-06-12T09:50:25Z</dcterms:created>
  <dcterms:modified xsi:type="dcterms:W3CDTF">2026-06-12T09:50:25Z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