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opher Callah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910" w:right="91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CALLAHAN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602.916.5510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ccallahan@fennemorelaw.com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hristopher Callahan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910" w:right="91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CALLAHAN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602.916.5510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ccallahan@fennemorelaw.com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CHRISTOPHER</w:t>
      </w:r>
      <w:r>
        <w:rPr>
          <w:color w:val="002E6B"/>
          <w:spacing w:val="9"/>
        </w:rPr>
        <w:t> </w:t>
      </w:r>
      <w:r>
        <w:rPr>
          <w:color w:val="002E6B"/>
        </w:rPr>
        <w:t>L.</w:t>
      </w:r>
      <w:r>
        <w:rPr>
          <w:color w:val="002E6B"/>
          <w:spacing w:val="10"/>
        </w:rPr>
        <w:t> </w:t>
      </w:r>
      <w:r>
        <w:rPr>
          <w:color w:val="002E6B"/>
          <w:spacing w:val="-2"/>
        </w:rPr>
        <w:t>CALLAHAN</w:t>
      </w:r>
    </w:p>
    <w:p>
      <w:pPr>
        <w:pStyle w:val="BodyText"/>
        <w:spacing w:line="295" w:lineRule="auto" w:before="147"/>
        <w:ind w:right="506"/>
      </w:pPr>
      <w:r>
        <w:rPr>
          <w:color w:val="6E6158"/>
        </w:rPr>
        <w:t>Chris practices in the areas of environmental, toxic tort and commercial litigation. He has</w:t>
      </w:r>
      <w:r>
        <w:rPr>
          <w:color w:val="6E6158"/>
          <w:spacing w:val="80"/>
        </w:rPr>
        <w:t> </w:t>
      </w:r>
      <w:r>
        <w:rPr>
          <w:color w:val="6E6158"/>
        </w:rPr>
        <w:t>extensive experience with complex, multi-party, multi-claim litigation, including class actions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mass</w:t>
      </w:r>
      <w:r>
        <w:rPr>
          <w:color w:val="6E6158"/>
          <w:spacing w:val="20"/>
        </w:rPr>
        <w:t> </w:t>
      </w:r>
      <w:r>
        <w:rPr>
          <w:color w:val="6E6158"/>
        </w:rPr>
        <w:t>actions.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represented</w:t>
      </w:r>
      <w:r>
        <w:rPr>
          <w:color w:val="6E6158"/>
          <w:spacing w:val="20"/>
        </w:rPr>
        <w:t> </w:t>
      </w:r>
      <w:r>
        <w:rPr>
          <w:color w:val="6E6158"/>
        </w:rPr>
        <w:t>product</w:t>
      </w:r>
      <w:r>
        <w:rPr>
          <w:color w:val="6E6158"/>
          <w:spacing w:val="20"/>
        </w:rPr>
        <w:t> </w:t>
      </w:r>
      <w:r>
        <w:rPr>
          <w:color w:val="6E6158"/>
        </w:rPr>
        <w:t>manufacturers,</w:t>
      </w:r>
      <w:r>
        <w:rPr>
          <w:color w:val="6E6158"/>
          <w:spacing w:val="20"/>
        </w:rPr>
        <w:t> </w:t>
      </w:r>
      <w:r>
        <w:rPr>
          <w:color w:val="6E6158"/>
        </w:rPr>
        <w:t>waste</w:t>
      </w:r>
      <w:r>
        <w:rPr>
          <w:color w:val="6E6158"/>
          <w:spacing w:val="20"/>
        </w:rPr>
        <w:t> </w:t>
      </w:r>
      <w:r>
        <w:rPr>
          <w:color w:val="6E6158"/>
        </w:rPr>
        <w:t>disposal</w:t>
      </w:r>
      <w:r>
        <w:rPr>
          <w:color w:val="6E6158"/>
          <w:spacing w:val="20"/>
        </w:rPr>
        <w:t> </w:t>
      </w:r>
      <w:r>
        <w:rPr>
          <w:color w:val="6E6158"/>
        </w:rPr>
        <w:t>entities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employers in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toxic</w:t>
      </w:r>
      <w:r>
        <w:rPr>
          <w:color w:val="6E6158"/>
          <w:spacing w:val="34"/>
        </w:rPr>
        <w:t> </w:t>
      </w:r>
      <w:r>
        <w:rPr>
          <w:color w:val="6E6158"/>
        </w:rPr>
        <w:t>tort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matters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groundwater</w:t>
      </w:r>
      <w:r>
        <w:rPr>
          <w:color w:val="6E6158"/>
          <w:spacing w:val="34"/>
        </w:rPr>
        <w:t> </w:t>
      </w:r>
      <w:r>
        <w:rPr>
          <w:color w:val="6E6158"/>
        </w:rPr>
        <w:t>contamination, airborne emissions and workplace exposure to toxic chemicals. In these contexts, Chris has</w:t>
      </w:r>
      <w:r>
        <w:rPr>
          <w:color w:val="6E6158"/>
          <w:spacing w:val="40"/>
        </w:rPr>
        <w:t> </w:t>
      </w:r>
      <w:r>
        <w:rPr>
          <w:color w:val="6E6158"/>
        </w:rPr>
        <w:t>counseled clients and has defended claims for personal injuries, medical surveillance damages</w:t>
      </w:r>
      <w:r>
        <w:rPr>
          <w:color w:val="6E6158"/>
          <w:spacing w:val="40"/>
        </w:rPr>
        <w:t> </w:t>
      </w:r>
      <w:r>
        <w:rPr>
          <w:color w:val="6E6158"/>
        </w:rPr>
        <w:t>and property damage.</w:t>
      </w:r>
    </w:p>
    <w:p>
      <w:pPr>
        <w:pStyle w:val="BodyText"/>
        <w:spacing w:line="297" w:lineRule="auto" w:before="200"/>
        <w:ind w:right="780"/>
      </w:pPr>
      <w:r>
        <w:rPr>
          <w:color w:val="6E6158"/>
        </w:rPr>
        <w:t>Chris also has extensive experience in the representation of private clubs. This </w:t>
      </w:r>
      <w:r>
        <w:rPr>
          <w:color w:val="6E6158"/>
        </w:rPr>
        <w:t>experience involves not only litigation, but also representation on transactional matters involving governance documents and member relations.</w:t>
      </w:r>
    </w:p>
    <w:p>
      <w:pPr>
        <w:pStyle w:val="BodyText"/>
        <w:spacing w:line="295" w:lineRule="auto" w:before="191"/>
        <w:ind w:right="622"/>
      </w:pPr>
      <w:r>
        <w:rPr>
          <w:color w:val="6E6158"/>
        </w:rPr>
        <w:t>In addition, Chris has defended clients against governmental enforcement actions and citizen</w:t>
      </w:r>
      <w:r>
        <w:rPr>
          <w:color w:val="6E6158"/>
          <w:spacing w:val="40"/>
        </w:rPr>
        <w:t> </w:t>
      </w:r>
      <w:r>
        <w:rPr>
          <w:color w:val="6E6158"/>
        </w:rPr>
        <w:t>suits under various federal and state environmental statutes, including but not limited to the</w:t>
      </w:r>
      <w:r>
        <w:rPr>
          <w:color w:val="6E6158"/>
          <w:spacing w:val="40"/>
        </w:rPr>
        <w:t> </w:t>
      </w:r>
      <w:hyperlink r:id="rId11">
        <w:r>
          <w:rPr>
            <w:color w:val="FF8100"/>
          </w:rPr>
          <w:t>Comprehensive Environmental Response, Compensation and Liability Act</w:t>
        </w:r>
      </w:hyperlink>
      <w:r>
        <w:rPr>
          <w:color w:val="FF8100"/>
        </w:rPr>
        <w:t> </w:t>
      </w:r>
      <w:r>
        <w:rPr>
          <w:color w:val="6E6158"/>
        </w:rPr>
        <w:t>(CERCLA), the </w:t>
      </w:r>
      <w:hyperlink r:id="rId12">
        <w:r>
          <w:rPr>
            <w:color w:val="FF8100"/>
          </w:rPr>
          <w:t>Water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Quality Assurance Revolving Fund</w:t>
        </w:r>
      </w:hyperlink>
      <w:r>
        <w:rPr>
          <w:color w:val="FF8100"/>
        </w:rPr>
        <w:t> </w:t>
      </w:r>
      <w:r>
        <w:rPr>
          <w:color w:val="6E6158"/>
        </w:rPr>
        <w:t>(WQARF), the </w:t>
      </w:r>
      <w:hyperlink r:id="rId13">
        <w:r>
          <w:rPr>
            <w:color w:val="FF8100"/>
          </w:rPr>
          <w:t>Clean Water Act</w:t>
        </w:r>
      </w:hyperlink>
      <w:r>
        <w:rPr>
          <w:color w:val="FF8100"/>
        </w:rPr>
        <w:t>, </w:t>
      </w:r>
      <w:r>
        <w:rPr>
          <w:color w:val="6E6158"/>
        </w:rPr>
        <w:t>the </w:t>
      </w:r>
      <w:hyperlink r:id="rId14">
        <w:r>
          <w:rPr>
            <w:color w:val="FF8100"/>
          </w:rPr>
          <w:t>Safe Drinking Water Act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and the </w:t>
      </w:r>
      <w:hyperlink r:id="rId15">
        <w:r>
          <w:rPr>
            <w:color w:val="FF8100"/>
          </w:rPr>
          <w:t>Underground Storage Tank Act</w:t>
        </w:r>
      </w:hyperlink>
      <w:r>
        <w:rPr>
          <w:color w:val="6E6158"/>
        </w:rPr>
        <w:t>. He has assisted his clients in obtaining insurance coverage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types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claims,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those</w:t>
      </w:r>
      <w:r>
        <w:rPr>
          <w:color w:val="6E6158"/>
          <w:spacing w:val="32"/>
        </w:rPr>
        <w:t> </w:t>
      </w:r>
      <w:r>
        <w:rPr>
          <w:color w:val="6E6158"/>
        </w:rPr>
        <w:t>involving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toxic</w:t>
      </w:r>
      <w:r>
        <w:rPr>
          <w:color w:val="6E6158"/>
          <w:spacing w:val="32"/>
        </w:rPr>
        <w:t> </w:t>
      </w:r>
      <w:r>
        <w:rPr>
          <w:color w:val="6E6158"/>
        </w:rPr>
        <w:t>tort</w:t>
      </w:r>
    </w:p>
    <w:p>
      <w:pPr>
        <w:pStyle w:val="BodyText"/>
        <w:spacing w:before="6"/>
      </w:pPr>
      <w:r>
        <w:rPr>
          <w:color w:val="6E6158"/>
          <w:spacing w:val="-2"/>
        </w:rPr>
        <w:t>liabilities.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780"/>
      </w:pPr>
      <w:r>
        <w:rPr>
          <w:color w:val="6E6158"/>
        </w:rPr>
        <w:t>Chris has also represented clients for more than thirty years in various forms of dispute resolution</w:t>
      </w:r>
      <w:r>
        <w:rPr>
          <w:color w:val="6E6158"/>
          <w:spacing w:val="40"/>
        </w:rPr>
        <w:t> </w:t>
      </w:r>
      <w:r>
        <w:rPr>
          <w:color w:val="6E6158"/>
        </w:rPr>
        <w:t>involving prescriptive rights, property diminution claims and issues arising from commercial and</w:t>
      </w:r>
      <w:r>
        <w:rPr>
          <w:color w:val="6E6158"/>
          <w:spacing w:val="40"/>
        </w:rPr>
        <w:t> </w:t>
      </w:r>
      <w:r>
        <w:rPr>
          <w:color w:val="6E6158"/>
        </w:rPr>
        <w:t>residential real estate development. Chris served as a Judge Pro Tempore for the Maricopa</w:t>
      </w:r>
      <w:r>
        <w:rPr>
          <w:color w:val="6E6158"/>
          <w:spacing w:val="40"/>
        </w:rPr>
        <w:t> </w:t>
      </w:r>
      <w:r>
        <w:rPr>
          <w:color w:val="6E6158"/>
        </w:rPr>
        <w:t>County Superior Court for approximately 20 years, where he gained extensive experience as a</w:t>
      </w:r>
      <w:r>
        <w:rPr>
          <w:color w:val="6E6158"/>
          <w:spacing w:val="40"/>
        </w:rPr>
        <w:t> </w:t>
      </w:r>
      <w:r>
        <w:rPr>
          <w:color w:val="6E6158"/>
        </w:rPr>
        <w:t>mediator. He supplemented this experience with studies at the Strauss Institute for Dispute Resolution at Pepperdine University.</w:t>
      </w:r>
    </w:p>
    <w:p>
      <w:pPr>
        <w:pStyle w:val="BodyText"/>
        <w:spacing w:line="302" w:lineRule="auto" w:before="193"/>
        <w:ind w:right="780"/>
      </w:pPr>
      <w:r>
        <w:rPr>
          <w:color w:val="6E6158"/>
        </w:rPr>
        <w:t>Away from work, Chris enjoys watching Sun Devil football, and enjoying all of the outdoor activities offered by the great State of Arizona.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2"/>
        </w:rPr>
        <w:t> </w:t>
      </w:r>
      <w:r>
        <w:rPr>
          <w:color w:val="6E6158"/>
        </w:rPr>
        <w:t>Angeles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6583"/>
      </w:pPr>
      <w:r>
        <w:rPr>
          <w:color w:val="6E6158"/>
        </w:rPr>
        <w:t>B.S., Arizona State </w:t>
      </w:r>
      <w:r>
        <w:rPr>
          <w:color w:val="6E6158"/>
        </w:rPr>
        <w:t>University</w:t>
      </w:r>
      <w:r>
        <w:rPr>
          <w:color w:val="6E6158"/>
        </w:rPr>
        <w:t> Order of the Coif</w:t>
      </w:r>
    </w:p>
    <w:p>
      <w:pPr>
        <w:pStyle w:val="BodyText"/>
        <w:spacing w:line="292" w:lineRule="auto" w:before="7"/>
        <w:ind w:right="780"/>
      </w:pPr>
      <w:r>
        <w:rPr>
          <w:color w:val="6E6158"/>
        </w:rPr>
        <w:t>Internship, The Honorable William Matthew Byrne, U.S. District Court, Southern District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California, 1983</w:t>
      </w:r>
    </w:p>
    <w:p>
      <w:pPr>
        <w:pStyle w:val="BodyText"/>
        <w:spacing w:before="123"/>
      </w:pPr>
      <w:r>
        <w:rPr>
          <w:color w:val="6E6158"/>
        </w:rPr>
        <w:t>Clerkship,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Honorable</w:t>
      </w:r>
      <w:r>
        <w:rPr>
          <w:color w:val="6E6158"/>
          <w:spacing w:val="13"/>
        </w:rPr>
        <w:t> </w:t>
      </w:r>
      <w:r>
        <w:rPr>
          <w:color w:val="6E6158"/>
        </w:rPr>
        <w:t>Anthony</w:t>
      </w:r>
      <w:r>
        <w:rPr>
          <w:color w:val="6E6158"/>
          <w:spacing w:val="14"/>
        </w:rPr>
        <w:t> </w:t>
      </w:r>
      <w:r>
        <w:rPr>
          <w:color w:val="6E6158"/>
        </w:rPr>
        <w:t>M.</w:t>
      </w:r>
      <w:r>
        <w:rPr>
          <w:color w:val="6E6158"/>
          <w:spacing w:val="13"/>
        </w:rPr>
        <w:t> </w:t>
      </w:r>
      <w:r>
        <w:rPr>
          <w:color w:val="6E6158"/>
        </w:rPr>
        <w:t>Kennedy,</w:t>
      </w:r>
      <w:r>
        <w:rPr>
          <w:color w:val="6E6158"/>
          <w:spacing w:val="13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Appeals,</w:t>
      </w:r>
      <w:r>
        <w:rPr>
          <w:color w:val="6E6158"/>
          <w:spacing w:val="14"/>
        </w:rPr>
        <w:t> </w:t>
      </w:r>
      <w:r>
        <w:rPr>
          <w:color w:val="6E6158"/>
        </w:rPr>
        <w:t>Ninth</w:t>
      </w:r>
      <w:r>
        <w:rPr>
          <w:color w:val="6E6158"/>
          <w:spacing w:val="13"/>
        </w:rPr>
        <w:t> </w:t>
      </w:r>
      <w:r>
        <w:rPr>
          <w:color w:val="6E6158"/>
        </w:rPr>
        <w:t>Circuit,</w:t>
      </w:r>
      <w:r>
        <w:rPr>
          <w:color w:val="6E6158"/>
          <w:spacing w:val="13"/>
        </w:rPr>
        <w:t> </w:t>
      </w:r>
      <w:r>
        <w:rPr>
          <w:color w:val="6E6158"/>
        </w:rPr>
        <w:t>1984-</w:t>
      </w:r>
      <w:r>
        <w:rPr>
          <w:color w:val="6E6158"/>
          <w:spacing w:val="-4"/>
        </w:rPr>
        <w:t>1985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6583"/>
      </w:pPr>
      <w:r>
        <w:rPr>
          <w:color w:val="6E6158"/>
        </w:rPr>
        <w:t>Business and Personal Injury </w:t>
      </w:r>
      <w:r>
        <w:rPr>
          <w:color w:val="6E6158"/>
        </w:rPr>
        <w:t>Torts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6"/>
        <w:ind w:right="6583"/>
      </w:pPr>
      <w:r>
        <w:rPr>
          <w:color w:val="6E6158"/>
        </w:rPr>
        <w:t>Mediation and </w:t>
      </w:r>
      <w:r>
        <w:rPr>
          <w:color w:val="6E6158"/>
        </w:rPr>
        <w:t>Arbitration Product Liability</w:t>
      </w:r>
    </w:p>
    <w:p>
      <w:pPr>
        <w:pStyle w:val="BodyText"/>
        <w:spacing w:line="231" w:lineRule="exact"/>
      </w:pP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  <w:spacing w:line="422" w:lineRule="auto"/>
        <w:ind w:right="7366"/>
      </w:pPr>
      <w:r>
        <w:rPr>
          <w:color w:val="6E6158"/>
        </w:rPr>
        <w:t>Business Litigation Professional </w:t>
      </w:r>
      <w:r>
        <w:rPr>
          <w:color w:val="6E6158"/>
        </w:rPr>
        <w:t>Liability Construction Law Natural Resources</w:t>
      </w:r>
    </w:p>
    <w:p>
      <w:pPr>
        <w:pStyle w:val="Heading2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7" w:lineRule="auto" w:before="254"/>
        <w:ind w:right="622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Litigation – Environmental, Mass Tort Litigation, Class Actions – Defendants, Product Liability Litigation – Defendants, 2013-2025</w:t>
      </w:r>
    </w:p>
    <w:p>
      <w:pPr>
        <w:spacing w:before="109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2021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72"/>
      </w:pPr>
      <w:r>
        <w:rPr>
          <w:i/>
          <w:color w:val="6E6158"/>
          <w:sz w:val="20"/>
        </w:rPr>
        <w:t>Best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</w:rPr>
        <w:t>Lawyer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Mass</w:t>
      </w:r>
      <w:r>
        <w:rPr>
          <w:color w:val="6E6158"/>
          <w:spacing w:val="4"/>
        </w:rPr>
        <w:t> </w:t>
      </w:r>
      <w:r>
        <w:rPr>
          <w:color w:val="6E6158"/>
        </w:rPr>
        <w:t>Tort</w:t>
      </w:r>
      <w:r>
        <w:rPr>
          <w:color w:val="6E6158"/>
          <w:spacing w:val="4"/>
        </w:rPr>
        <w:t> </w:t>
      </w:r>
      <w:r>
        <w:rPr>
          <w:color w:val="6E6158"/>
        </w:rPr>
        <w:t>Litigation/Class</w:t>
      </w:r>
      <w:r>
        <w:rPr>
          <w:color w:val="6E6158"/>
          <w:spacing w:val="3"/>
        </w:rPr>
        <w:t> </w:t>
      </w:r>
      <w:r>
        <w:rPr>
          <w:color w:val="6E6158"/>
        </w:rPr>
        <w:t>Actions-Defendants,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2015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Arizona’s Top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Alternative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Resolution,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BodyText"/>
        <w:spacing w:before="165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405" w:lineRule="auto" w:before="253"/>
        <w:ind w:left="99" w:right="1512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Mass Tort Litigation/Class Actions – Defendants, </w:t>
      </w:r>
      <w:r>
        <w:rPr>
          <w:color w:val="6E6158"/>
          <w:sz w:val="19"/>
        </w:rPr>
        <w:t>2023 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  <w:sz w:val="19"/>
        </w:rPr>
        <w:t>, May 21, 2020</w:t>
      </w:r>
    </w:p>
    <w:p>
      <w:pPr>
        <w:pStyle w:val="Heading2"/>
        <w:spacing w:before="28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Judge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Tempore,</w:t>
      </w:r>
      <w:r>
        <w:rPr>
          <w:color w:val="6E6158"/>
          <w:spacing w:val="13"/>
        </w:rPr>
        <w:t> </w:t>
      </w: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Superior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callahan@fennemorelaw.com" TargetMode="External"/><Relationship Id="rId11" Type="http://schemas.openxmlformats.org/officeDocument/2006/relationships/hyperlink" Target="https://www.hazardouswasteexperts.com/what-is-cercla-and-why-is-it-important-2/" TargetMode="External"/><Relationship Id="rId12" Type="http://schemas.openxmlformats.org/officeDocument/2006/relationships/hyperlink" Target="https://azdeq.gov/WQARF" TargetMode="External"/><Relationship Id="rId13" Type="http://schemas.openxmlformats.org/officeDocument/2006/relationships/hyperlink" Target="https://www.epa.gov/laws-regulations/summary-clean-water-act" TargetMode="External"/><Relationship Id="rId14" Type="http://schemas.openxmlformats.org/officeDocument/2006/relationships/hyperlink" Target="https://www.epa.gov/sdwa" TargetMode="External"/><Relationship Id="rId15" Type="http://schemas.openxmlformats.org/officeDocument/2006/relationships/hyperlink" Target="https://www.epa.gov/ust/underground-storage-tanks-usts-laws-and-regulation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L. Callahan - Fennemore</dc:title>
  <dcterms:created xsi:type="dcterms:W3CDTF">2026-06-12T10:28:26Z</dcterms:created>
  <dcterms:modified xsi:type="dcterms:W3CDTF">2026-06-12T10:28:26Z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