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-5090998</wp:posOffset>
                </wp:positionV>
                <wp:extent cx="6071870" cy="502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22850"/>
                          <a:chExt cx="6071870" cy="502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 Walth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2587" y="763308"/>
                            <a:ext cx="16351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 WALTHER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2403" y="2500373"/>
                            <a:ext cx="1535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cwalther@fennemorelaw.com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56030"/>
                            <a:ext cx="406019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9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belongs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actually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arena...who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55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56"/>
                                  <w:position w:val="2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11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fail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-27"/>
                                  <w:sz w:val="16"/>
                                </w:rPr>
                                <w:t>thos</w:t>
                              </w:r>
                              <w:r>
                                <w:rPr>
                                  <w:color w:val="FFFFFF"/>
                                  <w:spacing w:val="-361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6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ws</w:t>
                              </w:r>
                              <w:r>
                                <w:rPr>
                                  <w:color w:val="FFFFFF"/>
                                  <w:spacing w:val="18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1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color w:val="FFFFFF"/>
                                  <w:spacing w:val="-45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Theodor</w:t>
                              </w:r>
                              <w:r>
                                <w:rPr>
                                  <w:color w:val="FFFFFF"/>
                                  <w:spacing w:val="-765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01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1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34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0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292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25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imi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Roosevelt</w:t>
                              </w:r>
                              <w:r>
                                <w:rPr>
                                  <w:color w:val="FFFFFF"/>
                                  <w:spacing w:val="-1087"/>
                                  <w:position w:val="-56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34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e 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triu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4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-27"/>
                                  <w:sz w:val="16"/>
                                </w:rPr>
                                <w:t>oul</w:t>
                              </w:r>
                              <w:r>
                                <w:rPr>
                                  <w:color w:val="FFFFFF"/>
                                  <w:spacing w:val="-380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2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rin</w:t>
                              </w:r>
                              <w:r>
                                <w:rPr>
                                  <w:color w:val="FFFFFF"/>
                                  <w:spacing w:val="-52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00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237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"Th</w:t>
                              </w:r>
                              <w:r>
                                <w:rPr>
                                  <w:color w:val="FFFFFF"/>
                                  <w:spacing w:val="-312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neit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-27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-309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87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ly</w:t>
                              </w:r>
                              <w:r>
                                <w:rPr>
                                  <w:color w:val="FFFFFF"/>
                                  <w:spacing w:val="-5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hig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h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6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32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2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6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250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65"/>
                                  <w:position w:val="-5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5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16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Arena</w:t>
                              </w:r>
                              <w:r>
                                <w:rPr>
                                  <w:color w:val="FFFFFF"/>
                                  <w:spacing w:val="-459"/>
                                  <w:position w:val="-56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tor</w:t>
                              </w:r>
                              <w:r>
                                <w:rPr>
                                  <w:color w:val="FFFFFF"/>
                                  <w:spacing w:val="-494"/>
                                  <w:position w:val="-2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lac</w:t>
                              </w:r>
                              <w:r>
                                <w:rPr>
                                  <w:color w:val="FFFFFF"/>
                                  <w:spacing w:val="-45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 and 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253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hal</w:t>
                              </w:r>
                              <w:r>
                                <w:rPr>
                                  <w:color w:val="FFFFFF"/>
                                  <w:spacing w:val="-318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defeat</w:t>
                              </w:r>
                              <w:r>
                                <w:rPr>
                                  <w:color w:val="FFFFFF"/>
                                  <w:spacing w:val="-547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</w:t>
                              </w:r>
                              <w:r>
                                <w:rPr>
                                  <w:color w:val="FFFFFF"/>
                                  <w:spacing w:val="-42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35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rst</w:t>
                              </w:r>
                              <w:r>
                                <w:rPr>
                                  <w:color w:val="FFFFFF"/>
                                  <w:spacing w:val="22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38597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00.866028pt;width:478.1pt;height:395.5pt;mso-position-horizontal-relative:page;mso-position-vertical-relative:paragraph;z-index:15728640" id="docshapegroup1" coordorigin="1336,-8017" coordsize="9562,7910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8018;width:2165;height:424" type="#_x0000_t75" id="docshape3" alt="Fennemore" href="https://www.fennemorelaw.com/" stroked="false">
                  <v:imagedata r:id="rId5" o:title=""/>
                </v:shape>
                <v:shape style="position:absolute;left:1336;top:-7595;width:4785;height:4557" type="#_x0000_t75" id="docshape4" alt="Chris Walther bio" stroked="false">
                  <v:imagedata r:id="rId7" o:title=""/>
                </v:shape>
                <v:rect style="position:absolute;left:6121;top:-7595;width:4777;height:4557" id="docshape5" filled="true" fillcolor="#262424" stroked="false">
                  <v:fill type="solid"/>
                </v:rect>
                <v:shape style="position:absolute;left:6837;top:-5430;width:3337;height:505" id="docshape6" coordorigin="6837,-5430" coordsize="3337,505" path="m10174,-4933l6837,-4933,6837,-4925,10174,-4925,10174,-4933xm10174,-5430l6837,-5430,6837,-5421,10174,-5421,10174,-543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0;top:-6816;width:257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 WALTHER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658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40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702.791.8226</w:t>
                        </w:r>
                      </w:p>
                    </w:txbxContent>
                  </v:textbox>
                  <w10:wrap type="none"/>
                </v:shape>
                <v:shape style="position:absolute;left:8817;top:-440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702.791.8227</w:t>
                        </w:r>
                      </w:p>
                    </w:txbxContent>
                  </v:textbox>
                  <w10:wrap type="none"/>
                </v:shape>
                <v:shape style="position:absolute;left:7308;top:-4080;width:24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cwalther@fennemorelaw.com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394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9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credit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belongs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actually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arena...who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55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56"/>
                            <w:position w:val="28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114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fail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2"/>
                            <w:position w:val="-27"/>
                            <w:sz w:val="16"/>
                          </w:rPr>
                          <w:t>thos</w:t>
                        </w:r>
                        <w:r>
                          <w:rPr>
                            <w:color w:val="FFFFFF"/>
                            <w:spacing w:val="-361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62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ws</w:t>
                        </w:r>
                        <w:r>
                          <w:rPr>
                            <w:color w:val="FFFFFF"/>
                            <w:spacing w:val="18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1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ol</w:t>
                        </w:r>
                        <w:r>
                          <w:rPr>
                            <w:color w:val="FFFFFF"/>
                            <w:spacing w:val="-45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Theodor</w:t>
                        </w:r>
                        <w:r>
                          <w:rPr>
                            <w:color w:val="FFFFFF"/>
                            <w:spacing w:val="-765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01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1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34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0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2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292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254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imi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Roosevelt</w:t>
                        </w:r>
                        <w:r>
                          <w:rPr>
                            <w:color w:val="FFFFFF"/>
                            <w:spacing w:val="-1087"/>
                            <w:position w:val="-56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343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e 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triu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4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3"/>
                            <w:position w:val="-27"/>
                            <w:sz w:val="16"/>
                          </w:rPr>
                          <w:t>oul</w:t>
                        </w:r>
                        <w:r>
                          <w:rPr>
                            <w:color w:val="FFFFFF"/>
                            <w:spacing w:val="-380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2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rin</w:t>
                        </w:r>
                        <w:r>
                          <w:rPr>
                            <w:color w:val="FFFFFF"/>
                            <w:spacing w:val="-52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100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237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"Th</w:t>
                        </w:r>
                        <w:r>
                          <w:rPr>
                            <w:color w:val="FFFFFF"/>
                            <w:spacing w:val="-312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neit</w:t>
                        </w:r>
                        <w:r>
                          <w:rPr>
                            <w:color w:val="FFFFFF"/>
                            <w:spacing w:val="-47"/>
                            <w:position w:val="-27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Ma</w:t>
                        </w:r>
                        <w:r>
                          <w:rPr>
                            <w:color w:val="FFFFFF"/>
                            <w:spacing w:val="-309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487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ly</w:t>
                        </w:r>
                        <w:r>
                          <w:rPr>
                            <w:color w:val="FFFFFF"/>
                            <w:spacing w:val="-5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hig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h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162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32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-17"/>
                            <w:position w:val="-2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6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250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65"/>
                            <w:position w:val="-5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ve</w:t>
                        </w:r>
                        <w:r>
                          <w:rPr>
                            <w:color w:val="FFFFFF"/>
                            <w:spacing w:val="-25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165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55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Arena</w:t>
                        </w:r>
                        <w:r>
                          <w:rPr>
                            <w:color w:val="FFFFFF"/>
                            <w:spacing w:val="-459"/>
                            <w:position w:val="-56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tor</w:t>
                        </w:r>
                        <w:r>
                          <w:rPr>
                            <w:color w:val="FFFFFF"/>
                            <w:spacing w:val="-494"/>
                            <w:position w:val="-2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2"/>
                            <w:position w:val="-27"/>
                            <w:sz w:val="16"/>
                          </w:rPr>
                          <w:t>v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lac</w:t>
                        </w:r>
                        <w:r>
                          <w:rPr>
                            <w:color w:val="FFFFFF"/>
                            <w:spacing w:val="-45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 and 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253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hal</w:t>
                        </w:r>
                        <w:r>
                          <w:rPr>
                            <w:color w:val="FFFFFF"/>
                            <w:spacing w:val="-318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defeat</w:t>
                        </w:r>
                        <w:r>
                          <w:rPr>
                            <w:color w:val="FFFFFF"/>
                            <w:spacing w:val="-547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</w:t>
                        </w:r>
                        <w:r>
                          <w:rPr>
                            <w:color w:val="FFFFFF"/>
                            <w:spacing w:val="-425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35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b</w:t>
                        </w:r>
                        <w:r>
                          <w:rPr>
                            <w:color w:val="FFFFFF"/>
                            <w:spacing w:val="-17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rst</w:t>
                        </w:r>
                        <w:r>
                          <w:rPr>
                            <w:color w:val="FFFFFF"/>
                            <w:spacing w:val="22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8985;top:-1939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16"/>
          <w:sz w:val="24"/>
        </w:rPr>
        <w:t> </w:t>
      </w:r>
      <w:r>
        <w:rPr>
          <w:b/>
          <w:color w:val="002E6B"/>
          <w:spacing w:val="-2"/>
          <w:sz w:val="24"/>
        </w:rPr>
        <w:t>WALTHER</w:t>
      </w:r>
    </w:p>
    <w:p>
      <w:pPr>
        <w:pStyle w:val="BodyText"/>
        <w:spacing w:line="302" w:lineRule="auto" w:before="146"/>
        <w:ind w:left="99" w:right="413"/>
      </w:pPr>
      <w:r>
        <w:rPr>
          <w:color w:val="6E6158"/>
        </w:rPr>
        <w:t>Christopher Walther’s transactional practice focuses on corporate, business, and </w:t>
      </w:r>
      <w:r>
        <w:rPr>
          <w:color w:val="6E6158"/>
        </w:rPr>
        <w:t>commercial real estate matters.</w:t>
      </w:r>
    </w:p>
    <w:p>
      <w:pPr>
        <w:pStyle w:val="BodyText"/>
        <w:spacing w:line="295" w:lineRule="auto" w:before="186"/>
        <w:ind w:left="99" w:right="180"/>
      </w:pPr>
      <w:r>
        <w:rPr>
          <w:color w:val="6E6158"/>
        </w:rPr>
        <w:t>Chris serves as Fennemore’s Assistant Secretary and counsels clients on corporate organization,</w:t>
      </w:r>
      <w:r>
        <w:rPr>
          <w:color w:val="6E6158"/>
          <w:spacing w:val="40"/>
        </w:rPr>
        <w:t> </w:t>
      </w:r>
      <w:r>
        <w:rPr>
          <w:color w:val="6E6158"/>
        </w:rPr>
        <w:t>governance, and restructuring (including mergers and acquisitions) and negotiates, drafts,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interprets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wide</w:t>
      </w:r>
      <w:r>
        <w:rPr>
          <w:color w:val="6E6158"/>
          <w:spacing w:val="33"/>
        </w:rPr>
        <w:t> </w:t>
      </w:r>
      <w:r>
        <w:rPr>
          <w:color w:val="6E6158"/>
        </w:rPr>
        <w:t>range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agreements.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commercial</w:t>
      </w:r>
      <w:r>
        <w:rPr>
          <w:color w:val="6E6158"/>
          <w:spacing w:val="33"/>
        </w:rPr>
        <w:t> </w:t>
      </w:r>
      <w:r>
        <w:rPr>
          <w:color w:val="6E6158"/>
        </w:rPr>
        <w:t>lenders</w:t>
      </w:r>
      <w:r>
        <w:rPr>
          <w:color w:val="6E6158"/>
          <w:spacing w:val="33"/>
        </w:rPr>
        <w:t> </w:t>
      </w:r>
      <w:r>
        <w:rPr>
          <w:color w:val="6E6158"/>
        </w:rPr>
        <w:t>and borrowers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negotiating,</w:t>
      </w:r>
      <w:r>
        <w:rPr>
          <w:color w:val="6E6158"/>
          <w:spacing w:val="38"/>
        </w:rPr>
        <w:t> </w:t>
      </w:r>
      <w:r>
        <w:rPr>
          <w:color w:val="6E6158"/>
        </w:rPr>
        <w:t>documenting,</w:t>
      </w:r>
      <w:r>
        <w:rPr>
          <w:color w:val="6E6158"/>
          <w:spacing w:val="38"/>
        </w:rPr>
        <w:t> </w:t>
      </w:r>
      <w:r>
        <w:rPr>
          <w:color w:val="6E6158"/>
        </w:rPr>
        <w:t>modifying,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enforcing</w:t>
      </w:r>
      <w:r>
        <w:rPr>
          <w:color w:val="6E6158"/>
          <w:spacing w:val="38"/>
        </w:rPr>
        <w:t> </w:t>
      </w:r>
      <w:r>
        <w:rPr>
          <w:color w:val="6E6158"/>
        </w:rPr>
        <w:t>secured</w:t>
      </w:r>
      <w:r>
        <w:rPr>
          <w:color w:val="6E6158"/>
          <w:spacing w:val="38"/>
        </w:rPr>
        <w:t> </w:t>
      </w:r>
      <w:r>
        <w:rPr>
          <w:color w:val="6E6158"/>
        </w:rPr>
        <w:t>loans,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advises</w:t>
      </w:r>
    </w:p>
    <w:p>
      <w:pPr>
        <w:pStyle w:val="BodyText"/>
        <w:spacing w:line="292" w:lineRule="auto" w:before="1"/>
        <w:ind w:left="99" w:right="254"/>
        <w:jc w:val="both"/>
      </w:pPr>
      <w:r>
        <w:rPr>
          <w:color w:val="6E6158"/>
        </w:rPr>
        <w:t>sellers, buyers, lessors, and lessees in acquiring, financing, leasing, and disposing of commercial real estate and personal property. A member of Fennemore’s Opinion Committee, Chris has </w:t>
      </w:r>
      <w:r>
        <w:rPr>
          <w:color w:val="6E6158"/>
        </w:rPr>
        <w:t>an established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opinion</w:t>
      </w:r>
      <w:r>
        <w:rPr>
          <w:color w:val="6E6158"/>
          <w:spacing w:val="31"/>
        </w:rPr>
        <w:t> </w:t>
      </w:r>
      <w:r>
        <w:rPr>
          <w:color w:val="6E6158"/>
        </w:rPr>
        <w:t>letter</w:t>
      </w:r>
      <w:r>
        <w:rPr>
          <w:color w:val="6E6158"/>
          <w:spacing w:val="31"/>
        </w:rPr>
        <w:t> </w:t>
      </w:r>
      <w:r>
        <w:rPr>
          <w:color w:val="6E6158"/>
        </w:rPr>
        <w:t>practice,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regularly</w:t>
      </w:r>
      <w:r>
        <w:rPr>
          <w:color w:val="6E6158"/>
          <w:spacing w:val="31"/>
        </w:rPr>
        <w:t> </w:t>
      </w:r>
      <w:r>
        <w:rPr>
          <w:color w:val="6E6158"/>
        </w:rPr>
        <w:t>engaged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opinions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</w:p>
    <w:p>
      <w:pPr>
        <w:pStyle w:val="BodyText"/>
        <w:spacing w:before="10"/>
        <w:ind w:left="99"/>
        <w:jc w:val="both"/>
      </w:pP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financing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270"/>
      </w:pPr>
      <w:r>
        <w:rPr>
          <w:color w:val="6E6158"/>
        </w:rPr>
        <w:t>Chris has twice been named the Las Vegas “Lawyer of the Year” in Commercial Finance Law by Best Lawyers in America® (2023 and 2025) and has been consistently recognized in real estate</w:t>
      </w:r>
      <w:r>
        <w:rPr>
          <w:color w:val="6E6158"/>
          <w:spacing w:val="40"/>
        </w:rPr>
        <w:t> </w:t>
      </w:r>
      <w:r>
        <w:rPr>
          <w:color w:val="6E6158"/>
        </w:rPr>
        <w:t>and corporate law. He writes frequently on corporate and real estate law developments</w:t>
      </w:r>
      <w:r>
        <w:rPr>
          <w:color w:val="6E6158"/>
          <w:spacing w:val="80"/>
        </w:rPr>
        <w:t> </w:t>
      </w:r>
      <w:r>
        <w:rPr>
          <w:color w:val="6E6158"/>
        </w:rPr>
        <w:t>affecting Nevada businesses.</w:t>
      </w:r>
    </w:p>
    <w:p>
      <w:pPr>
        <w:pStyle w:val="BodyText"/>
        <w:spacing w:line="295" w:lineRule="auto" w:before="196"/>
        <w:ind w:left="99" w:right="159"/>
      </w:pPr>
      <w:r>
        <w:rPr>
          <w:color w:val="6E6158"/>
        </w:rPr>
        <w:t>Chris is the Secretary and a Director of Family Promise of Las Vegas, a nonprofit organization dedicated to helping at-risk families with children achieve secure housing, financial stability,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26"/>
        </w:rPr>
        <w:t> </w:t>
      </w:r>
      <w:r>
        <w:rPr>
          <w:color w:val="6E6158"/>
        </w:rPr>
        <w:t>independence.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volunteers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</w:t>
      </w:r>
      <w:r>
        <w:rPr>
          <w:color w:val="6E6158"/>
          <w:spacing w:val="26"/>
        </w:rPr>
        <w:t> </w:t>
      </w:r>
      <w:r>
        <w:rPr>
          <w:color w:val="6E6158"/>
        </w:rPr>
        <w:t>bono</w:t>
      </w:r>
      <w:r>
        <w:rPr>
          <w:color w:val="6E6158"/>
          <w:spacing w:val="26"/>
        </w:rPr>
        <w:t> </w:t>
      </w:r>
      <w:r>
        <w:rPr>
          <w:color w:val="6E6158"/>
        </w:rPr>
        <w:t>attorney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Aid</w:t>
      </w:r>
      <w:r>
        <w:rPr>
          <w:color w:val="6E6158"/>
          <w:spacing w:val="26"/>
        </w:rPr>
        <w:t> </w:t>
      </w:r>
      <w:r>
        <w:rPr>
          <w:color w:val="6E6158"/>
        </w:rPr>
        <w:t>Center of Southern Nevada’s Landlord/Tenant Ask-A-Lawyer Program, providing guidance to residential</w:t>
      </w:r>
      <w:r>
        <w:rPr>
          <w:color w:val="6E6158"/>
          <w:spacing w:val="40"/>
        </w:rPr>
        <w:t> </w:t>
      </w:r>
      <w:r>
        <w:rPr>
          <w:color w:val="6E6158"/>
        </w:rPr>
        <w:t>landlords and tenants navigating housing-related legal challenges.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413"/>
      </w:pPr>
      <w:r>
        <w:rPr>
          <w:color w:val="6E6158"/>
        </w:rPr>
        <w:t>Originally from the Pacific Northwest, Chris chose to practice law in Las Vegas because of its unique and dynamic business environment. Outside the office, he enjoys spending college</w:t>
      </w:r>
      <w:r>
        <w:rPr>
          <w:color w:val="6E6158"/>
          <w:spacing w:val="40"/>
        </w:rPr>
        <w:t> </w:t>
      </w:r>
      <w:r>
        <w:rPr>
          <w:color w:val="6E6158"/>
        </w:rPr>
        <w:t>football Saturdays with his family rooting on the Oregon Ducks, Michigan Wolverines, and Brown</w:t>
      </w:r>
      <w:r>
        <w:rPr>
          <w:color w:val="6E6158"/>
          <w:spacing w:val="40"/>
        </w:rPr>
        <w:t> </w:t>
      </w:r>
      <w:r>
        <w:rPr>
          <w:color w:val="6E6158"/>
        </w:rPr>
        <w:t>Bears (with whom he won the 1999 Ivy League Championship and later earned All-Ivy League</w:t>
      </w:r>
      <w:r>
        <w:rPr>
          <w:color w:val="6E6158"/>
          <w:spacing w:val="40"/>
        </w:rPr>
        <w:t> </w:t>
      </w:r>
      <w:r>
        <w:rPr>
          <w:color w:val="6E6158"/>
        </w:rPr>
        <w:t>academic and football honors).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5530"/>
      </w:pPr>
      <w:r>
        <w:rPr>
          <w:color w:val="6E6158"/>
        </w:rPr>
        <w:t>J.D., University of Oregon School of </w:t>
      </w:r>
      <w:r>
        <w:rPr>
          <w:color w:val="6E6158"/>
        </w:rPr>
        <w:t>Law</w:t>
      </w:r>
      <w:r>
        <w:rPr>
          <w:color w:val="6E6158"/>
        </w:rPr>
        <w:t> A.B., Brown University</w:t>
      </w:r>
    </w:p>
    <w:p>
      <w:pPr>
        <w:spacing w:line="228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Executive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Oregon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line="420" w:lineRule="auto" w:before="171"/>
        <w:ind w:left="99" w:right="2036"/>
      </w:pPr>
      <w:r>
        <w:rPr>
          <w:color w:val="6E6158"/>
        </w:rPr>
        <w:t>Brown University Varsity Football Team (1999 Ivy League </w:t>
      </w:r>
      <w:r>
        <w:rPr>
          <w:color w:val="6E6158"/>
        </w:rPr>
        <w:t>Champions) Academic All-Ivy</w:t>
      </w:r>
    </w:p>
    <w:p>
      <w:pPr>
        <w:pStyle w:val="BodyText"/>
        <w:spacing w:before="7"/>
        <w:ind w:left="99"/>
      </w:pPr>
      <w:r>
        <w:rPr>
          <w:color w:val="6E6158"/>
        </w:rPr>
        <w:t>All-Ivy</w:t>
      </w:r>
      <w:r>
        <w:rPr>
          <w:color w:val="6E6158"/>
          <w:spacing w:val="14"/>
        </w:rPr>
        <w:t> </w:t>
      </w:r>
      <w:r>
        <w:rPr>
          <w:color w:val="6E6158"/>
        </w:rPr>
        <w:t>League</w:t>
      </w:r>
      <w:r>
        <w:rPr>
          <w:color w:val="6E6158"/>
          <w:spacing w:val="14"/>
        </w:rPr>
        <w:t> </w:t>
      </w:r>
      <w:r>
        <w:rPr>
          <w:color w:val="6E6158"/>
        </w:rPr>
        <w:t>Tight</w:t>
      </w:r>
      <w:r>
        <w:rPr>
          <w:color w:val="6E6158"/>
          <w:spacing w:val="15"/>
        </w:rPr>
        <w:t> </w:t>
      </w:r>
      <w:r>
        <w:rPr>
          <w:color w:val="6E6158"/>
        </w:rPr>
        <w:t>End</w:t>
      </w:r>
      <w:r>
        <w:rPr>
          <w:color w:val="6E6158"/>
          <w:spacing w:val="14"/>
        </w:rPr>
        <w:t> </w:t>
      </w:r>
      <w:r>
        <w:rPr>
          <w:color w:val="6E6158"/>
        </w:rPr>
        <w:t>(Honorable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Mention)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3"/>
        <w:ind w:left="99" w:right="5530"/>
      </w:pPr>
      <w:r>
        <w:rPr>
          <w:color w:val="6E6158"/>
        </w:rPr>
        <w:t>Real Estate Finance and </w:t>
      </w:r>
      <w:r>
        <w:rPr>
          <w:color w:val="6E6158"/>
        </w:rPr>
        <w:t>Lending Business &amp; Finance</w:t>
      </w:r>
    </w:p>
    <w:p>
      <w:pPr>
        <w:pStyle w:val="BodyText"/>
        <w:spacing w:before="111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4"/>
        <w:ind w:left="99"/>
      </w:pPr>
      <w:r>
        <w:rPr>
          <w:color w:val="6E6158"/>
        </w:rPr>
        <w:t>Venture</w:t>
      </w:r>
      <w:r>
        <w:rPr>
          <w:color w:val="6E6158"/>
          <w:spacing w:val="-6"/>
        </w:rPr>
        <w:t> </w:t>
      </w:r>
      <w:r>
        <w:rPr>
          <w:color w:val="6E6158"/>
          <w:spacing w:val="-2"/>
        </w:rPr>
        <w:t>Accelerator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413"/>
      </w:pPr>
      <w:r>
        <w:rPr>
          <w:color w:val="6E6158"/>
        </w:rPr>
        <w:t>Led the negotiations for the consignment and sale (via public auction) of the LeBron James</w:t>
      </w:r>
      <w:r>
        <w:rPr>
          <w:color w:val="6E6158"/>
          <w:spacing w:val="40"/>
        </w:rPr>
        <w:t> </w:t>
      </w:r>
      <w:r>
        <w:rPr>
          <w:color w:val="6E6158"/>
        </w:rPr>
        <w:t>Triple Logoman basketball card, the most expensive sports trading card ever pulled from its</w:t>
      </w:r>
      <w:r>
        <w:rPr>
          <w:color w:val="6E6158"/>
          <w:spacing w:val="40"/>
        </w:rPr>
        <w:t> </w:t>
      </w:r>
      <w:r>
        <w:rPr>
          <w:color w:val="6E6158"/>
        </w:rPr>
        <w:t>packaging and sold in the same year.</w:t>
      </w:r>
    </w:p>
    <w:p>
      <w:pPr>
        <w:pStyle w:val="BodyText"/>
        <w:spacing w:before="132"/>
        <w:ind w:left="99"/>
      </w:pPr>
      <w:r>
        <w:rPr>
          <w:color w:val="6E6158"/>
        </w:rPr>
        <w:t>Guided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financial</w:t>
      </w:r>
      <w:r>
        <w:rPr>
          <w:color w:val="6E6158"/>
          <w:spacing w:val="12"/>
        </w:rPr>
        <w:t> </w:t>
      </w:r>
      <w:r>
        <w:rPr>
          <w:color w:val="6E6158"/>
        </w:rPr>
        <w:t>institution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entering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long-term</w:t>
      </w:r>
      <w:r>
        <w:rPr>
          <w:color w:val="6E6158"/>
          <w:spacing w:val="12"/>
        </w:rPr>
        <w:t> </w:t>
      </w:r>
      <w:r>
        <w:rPr>
          <w:color w:val="6E6158"/>
        </w:rPr>
        <w:t>naming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sponsorship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agreement for a metropolitan, multi-purpose arena that is home to NCAA Division I men’s and</w:t>
      </w:r>
      <w:r>
        <w:rPr>
          <w:color w:val="6E6158"/>
          <w:spacing w:val="40"/>
        </w:rPr>
        <w:t> </w:t>
      </w:r>
      <w:r>
        <w:rPr>
          <w:color w:val="6E6158"/>
        </w:rPr>
        <w:t>women’s basketball teams.</w:t>
      </w:r>
    </w:p>
    <w:p>
      <w:pPr>
        <w:pStyle w:val="BodyText"/>
        <w:spacing w:line="302" w:lineRule="auto" w:before="123"/>
        <w:ind w:left="99" w:right="180"/>
      </w:pPr>
      <w:r>
        <w:rPr>
          <w:color w:val="6E6158"/>
        </w:rPr>
        <w:t>Assisted a casino resort owner with all aspects of the lease and subsequent sale of the underlying</w:t>
      </w:r>
      <w:r>
        <w:rPr>
          <w:color w:val="6E6158"/>
          <w:spacing w:val="40"/>
        </w:rPr>
        <w:t> </w:t>
      </w:r>
      <w:r>
        <w:rPr>
          <w:color w:val="6E6158"/>
        </w:rPr>
        <w:t>real property to the United States Air Force for national security purposes.</w:t>
      </w:r>
    </w:p>
    <w:p>
      <w:pPr>
        <w:pStyle w:val="BodyText"/>
        <w:spacing w:line="292" w:lineRule="auto" w:before="113"/>
        <w:ind w:left="99" w:right="413"/>
      </w:pPr>
      <w:r>
        <w:rPr>
          <w:color w:val="6E6158"/>
        </w:rPr>
        <w:t>Advised a real estate development company on the acquisition and development of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3"/>
        </w:rPr>
        <w:t> </w:t>
      </w:r>
      <w:r>
        <w:rPr>
          <w:color w:val="6E6158"/>
        </w:rPr>
        <w:t>located</w:t>
      </w:r>
      <w:r>
        <w:rPr>
          <w:color w:val="6E6158"/>
          <w:spacing w:val="13"/>
        </w:rPr>
        <w:t> </w:t>
      </w:r>
      <w:r>
        <w:rPr>
          <w:color w:val="6E6158"/>
        </w:rPr>
        <w:t>throughout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country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financed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line="302" w:lineRule="auto" w:before="123"/>
        <w:ind w:left="99" w:right="180"/>
      </w:pPr>
      <w:r>
        <w:rPr>
          <w:color w:val="6E6158"/>
        </w:rPr>
        <w:t>Delivered a complex Nevada opinion letter in connection with financing secured by a long-</w:t>
      </w:r>
      <w:r>
        <w:rPr>
          <w:color w:val="6E6158"/>
        </w:rPr>
        <w:t>term</w:t>
      </w:r>
      <w:r>
        <w:rPr>
          <w:color w:val="6E6158"/>
          <w:spacing w:val="40"/>
        </w:rPr>
        <w:t> </w:t>
      </w:r>
      <w:r>
        <w:rPr>
          <w:color w:val="6E6158"/>
        </w:rPr>
        <w:t>Las Vegas Strip casino resort lease.</w:t>
      </w:r>
    </w:p>
    <w:p>
      <w:pPr>
        <w:pStyle w:val="BodyText"/>
        <w:spacing w:line="292" w:lineRule="auto" w:before="113"/>
        <w:ind w:left="99"/>
      </w:pPr>
      <w:r>
        <w:rPr>
          <w:color w:val="6E6158"/>
        </w:rPr>
        <w:t>Counseled a residential apartment developer in obtaining and refinancing numerous loans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institutional</w:t>
      </w:r>
      <w:r>
        <w:rPr>
          <w:color w:val="6E6158"/>
          <w:spacing w:val="38"/>
        </w:rPr>
        <w:t> </w:t>
      </w:r>
      <w:r>
        <w:rPr>
          <w:color w:val="6E6158"/>
        </w:rPr>
        <w:t>lenders</w:t>
      </w:r>
      <w:r>
        <w:rPr>
          <w:color w:val="6E6158"/>
          <w:spacing w:val="38"/>
        </w:rPr>
        <w:t> </w:t>
      </w:r>
      <w:r>
        <w:rPr>
          <w:color w:val="6E6158"/>
        </w:rPr>
        <w:t>(including</w:t>
      </w:r>
      <w:r>
        <w:rPr>
          <w:color w:val="6E6158"/>
          <w:spacing w:val="38"/>
        </w:rPr>
        <w:t> </w:t>
      </w:r>
      <w:r>
        <w:rPr>
          <w:color w:val="6E6158"/>
        </w:rPr>
        <w:t>Freddie</w:t>
      </w:r>
      <w:r>
        <w:rPr>
          <w:color w:val="6E6158"/>
          <w:spacing w:val="38"/>
        </w:rPr>
        <w:t> </w:t>
      </w:r>
      <w:r>
        <w:rPr>
          <w:color w:val="6E6158"/>
        </w:rPr>
        <w:t>Mac</w:t>
      </w:r>
      <w:r>
        <w:rPr>
          <w:color w:val="6E6158"/>
          <w:spacing w:val="38"/>
        </w:rPr>
        <w:t> </w:t>
      </w:r>
      <w:r>
        <w:rPr>
          <w:color w:val="6E6158"/>
        </w:rPr>
        <w:t>loans),</w:t>
      </w:r>
      <w:r>
        <w:rPr>
          <w:color w:val="6E6158"/>
          <w:spacing w:val="38"/>
        </w:rPr>
        <w:t> </w:t>
      </w:r>
      <w:r>
        <w:rPr>
          <w:color w:val="6E6158"/>
        </w:rPr>
        <w:t>which</w:t>
      </w:r>
      <w:r>
        <w:rPr>
          <w:color w:val="6E6158"/>
          <w:spacing w:val="38"/>
        </w:rPr>
        <w:t> </w:t>
      </w:r>
      <w:r>
        <w:rPr>
          <w:color w:val="6E6158"/>
        </w:rPr>
        <w:t>efforts</w:t>
      </w:r>
      <w:r>
        <w:rPr>
          <w:color w:val="6E6158"/>
          <w:spacing w:val="38"/>
        </w:rPr>
        <w:t> </w:t>
      </w:r>
      <w:r>
        <w:rPr>
          <w:color w:val="6E6158"/>
        </w:rPr>
        <w:t>included</w:t>
      </w:r>
      <w:r>
        <w:rPr>
          <w:color w:val="6E6158"/>
          <w:spacing w:val="38"/>
        </w:rPr>
        <w:t> </w:t>
      </w:r>
      <w:r>
        <w:rPr>
          <w:color w:val="6E6158"/>
        </w:rPr>
        <w:t>negotiating</w:t>
      </w:r>
      <w:r>
        <w:rPr>
          <w:color w:val="6E6158"/>
          <w:spacing w:val="38"/>
        </w:rPr>
        <w:t> </w:t>
      </w:r>
      <w:r>
        <w:rPr>
          <w:color w:val="6E6158"/>
        </w:rPr>
        <w:t>loan</w:t>
      </w:r>
    </w:p>
    <w:p>
      <w:pPr>
        <w:pStyle w:val="BodyText"/>
        <w:spacing w:before="9"/>
        <w:ind w:left="99"/>
      </w:pPr>
      <w:r>
        <w:rPr>
          <w:color w:val="6E6158"/>
        </w:rPr>
        <w:t>document</w:t>
      </w:r>
      <w:r>
        <w:rPr>
          <w:color w:val="6E6158"/>
          <w:spacing w:val="16"/>
        </w:rPr>
        <w:t> </w:t>
      </w:r>
      <w:r>
        <w:rPr>
          <w:color w:val="6E6158"/>
        </w:rPr>
        <w:t>terms,</w:t>
      </w:r>
      <w:r>
        <w:rPr>
          <w:color w:val="6E6158"/>
          <w:spacing w:val="17"/>
        </w:rPr>
        <w:t> </w:t>
      </w:r>
      <w:r>
        <w:rPr>
          <w:color w:val="6E6158"/>
        </w:rPr>
        <w:t>performing</w:t>
      </w:r>
      <w:r>
        <w:rPr>
          <w:color w:val="6E6158"/>
          <w:spacing w:val="17"/>
        </w:rPr>
        <w:t> </w:t>
      </w:r>
      <w:r>
        <w:rPr>
          <w:color w:val="6E6158"/>
        </w:rPr>
        <w:t>due</w:t>
      </w:r>
      <w:r>
        <w:rPr>
          <w:color w:val="6E6158"/>
          <w:spacing w:val="17"/>
        </w:rPr>
        <w:t> </w:t>
      </w:r>
      <w:r>
        <w:rPr>
          <w:color w:val="6E6158"/>
        </w:rPr>
        <w:t>diligence,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delivering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opinion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letters.</w:t>
      </w:r>
    </w:p>
    <w:p>
      <w:pPr>
        <w:pStyle w:val="BodyText"/>
        <w:spacing w:line="292" w:lineRule="auto" w:before="174"/>
        <w:ind w:left="99"/>
      </w:pPr>
      <w:r>
        <w:rPr>
          <w:color w:val="6E6158"/>
        </w:rPr>
        <w:t>Successfully negotiated with government authorities regarding the placement of a </w:t>
      </w:r>
      <w:r>
        <w:rPr>
          <w:color w:val="6E6158"/>
        </w:rPr>
        <w:t>temporary</w:t>
      </w:r>
      <w:r>
        <w:rPr>
          <w:color w:val="6E6158"/>
          <w:spacing w:val="40"/>
        </w:rPr>
        <w:t> </w:t>
      </w:r>
      <w:r>
        <w:rPr>
          <w:color w:val="6E6158"/>
        </w:rPr>
        <w:t>building</w:t>
      </w:r>
      <w:r>
        <w:rPr>
          <w:color w:val="6E6158"/>
          <w:spacing w:val="26"/>
        </w:rPr>
        <w:t> </w:t>
      </w:r>
      <w:r>
        <w:rPr>
          <w:color w:val="6E6158"/>
        </w:rPr>
        <w:t>wrap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partially</w:t>
      </w:r>
      <w:r>
        <w:rPr>
          <w:color w:val="6E6158"/>
          <w:spacing w:val="26"/>
        </w:rPr>
        <w:t> </w:t>
      </w:r>
      <w:r>
        <w:rPr>
          <w:color w:val="6E6158"/>
        </w:rPr>
        <w:t>constructed</w:t>
      </w:r>
      <w:r>
        <w:rPr>
          <w:color w:val="6E6158"/>
          <w:spacing w:val="26"/>
        </w:rPr>
        <w:t> </w:t>
      </w:r>
      <w:r>
        <w:rPr>
          <w:color w:val="6E6158"/>
        </w:rPr>
        <w:t>hotel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casino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improve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before="2"/>
        <w:ind w:left="99"/>
      </w:pPr>
      <w:r>
        <w:rPr>
          <w:color w:val="6E6158"/>
        </w:rPr>
        <w:t>aesthetic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pedestrians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Strip.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left="99" w:right="413"/>
      </w:pPr>
      <w:r>
        <w:rPr>
          <w:color w:val="6E6158"/>
        </w:rPr>
        <w:t>Restructured a former Las Vegas casino owner’s corporate subsidiaries through several </w:t>
      </w:r>
      <w:r>
        <w:rPr>
          <w:color w:val="6E6158"/>
        </w:rPr>
        <w:t>mergers,</w:t>
      </w:r>
      <w:r>
        <w:rPr>
          <w:color w:val="6E6158"/>
          <w:spacing w:val="40"/>
        </w:rPr>
        <w:t> </w:t>
      </w:r>
      <w:r>
        <w:rPr>
          <w:color w:val="6E6158"/>
        </w:rPr>
        <w:t>conversions, and dissolutions in order to simplify the client’s ownership structure while achieving</w:t>
      </w:r>
      <w:r>
        <w:rPr>
          <w:color w:val="6E6158"/>
          <w:spacing w:val="40"/>
        </w:rPr>
        <w:t> </w:t>
      </w:r>
      <w:r>
        <w:rPr>
          <w:color w:val="6E6158"/>
        </w:rPr>
        <w:t>the client’s desired tax benefits.</w:t>
      </w:r>
    </w:p>
    <w:p>
      <w:pPr>
        <w:pStyle w:val="BodyText"/>
        <w:spacing w:before="107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both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 the Year, Commercial Finance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 &amp;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both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line="403" w:lineRule="auto" w:before="165"/>
        <w:ind w:left="99" w:right="4238" w:firstLine="0"/>
        <w:jc w:val="both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Law, 2025-2026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2018-2019</w:t>
      </w:r>
    </w:p>
    <w:p>
      <w:pPr>
        <w:spacing w:line="241" w:lineRule="exact" w:before="0"/>
        <w:ind w:left="99" w:right="0" w:firstLine="0"/>
        <w:jc w:val="both"/>
        <w:rPr>
          <w:sz w:val="19"/>
        </w:rPr>
      </w:pPr>
      <w:r>
        <w:rPr>
          <w:color w:val="6E6158"/>
          <w:sz w:val="19"/>
        </w:rPr>
        <w:t>“Best Up and Coming Attorneys,”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2013, </w:t>
      </w:r>
      <w:r>
        <w:rPr>
          <w:color w:val="6E6158"/>
          <w:spacing w:val="-4"/>
          <w:sz w:val="19"/>
        </w:rPr>
        <w:t>2015</w:t>
      </w:r>
    </w:p>
    <w:p>
      <w:pPr>
        <w:spacing w:before="164"/>
        <w:ind w:left="99" w:right="0" w:firstLine="0"/>
        <w:jc w:val="both"/>
        <w:rPr>
          <w:sz w:val="19"/>
        </w:rPr>
      </w:pP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2009,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292" w:lineRule="auto" w:before="180"/>
        <w:ind w:left="99" w:right="270"/>
      </w:pPr>
      <w:r>
        <w:rPr>
          <w:color w:val="6E6158"/>
        </w:rPr>
        <w:t>National Football Foundation and College Hall of Fame Scholar Athlete of the Year </w:t>
      </w:r>
      <w:r>
        <w:rPr>
          <w:color w:val="6E6158"/>
        </w:rPr>
        <w:t>Scholarship (Portland, Oregon Chapter), 1998</w:t>
      </w:r>
    </w:p>
    <w:p>
      <w:pPr>
        <w:pStyle w:val="BodyText"/>
        <w:spacing w:before="116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™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available),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8"/>
          <w:sz w:val="19"/>
        </w:rPr>
        <w:t> </w:t>
      </w:r>
      <w:hyperlink r:id="rId11">
        <w:r>
          <w:rPr>
            <w:i/>
            <w:color w:val="F5821F"/>
            <w:sz w:val="20"/>
          </w:rPr>
          <w:t>Nevada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Corporate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M&amp;A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2026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Guide</w:t>
        </w:r>
      </w:hyperlink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Chambers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Global,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72"/>
        <w:ind w:left="99" w:right="180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New Nevada Precedent: Statutes of Limitation Can Be Waived by Contrac</w:t>
        </w:r>
      </w:hyperlink>
      <w:r>
        <w:rPr>
          <w:color w:val="6E6158"/>
        </w:rPr>
        <w:t>t,” Las Vegas Review-Journal, September 1, 2025</w:t>
      </w:r>
    </w:p>
    <w:p>
      <w:pPr>
        <w:pStyle w:val="BodyText"/>
        <w:spacing w:line="302" w:lineRule="auto" w:before="123"/>
        <w:ind w:left="99" w:right="41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13"/>
        <w:ind w:left="99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31"/>
        <w:ind w:left="99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23"/>
        <w:ind w:left="99"/>
      </w:pPr>
      <w:hyperlink r:id="rId16">
        <w:r>
          <w:rPr>
            <w:color w:val="F5821F"/>
          </w:rPr>
          <w:t>Co-Author, Fennemore Notice To Clients – Corporate Transparency Act, Fennemore Client </w:t>
        </w:r>
        <w:r>
          <w:rPr>
            <w:color w:val="F5821F"/>
          </w:rPr>
          <w:t>Alert,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December 29, 2023</w:t>
        </w:r>
      </w:hyperlink>
    </w:p>
    <w:p>
      <w:pPr>
        <w:pStyle w:val="BodyText"/>
        <w:spacing w:before="132"/>
        <w:ind w:left="99"/>
      </w:pPr>
      <w:hyperlink r:id="rId17">
        <w:r>
          <w:rPr>
            <w:color w:val="F5821F"/>
          </w:rPr>
          <w:t>Author,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“5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Traps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When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Selling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CRE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Vegas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Area,”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14,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left="99"/>
      </w:pPr>
      <w:hyperlink r:id="rId18">
        <w:r>
          <w:rPr>
            <w:color w:val="F5821F"/>
          </w:rPr>
          <w:t>Author, “Traps for Sellers of Commercial Real Estate in Clark County,” Fennemore Blog, August 24,</w:t>
        </w:r>
      </w:hyperlink>
      <w:r>
        <w:rPr>
          <w:color w:val="F5821F"/>
        </w:rPr>
        <w:t> </w:t>
      </w:r>
      <w:hyperlink r:id="rId18"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23"/>
        <w:ind w:left="99"/>
      </w:pPr>
      <w:r>
        <w:rPr>
          <w:color w:val="6E6158"/>
        </w:rPr>
        <w:t>Author, “What You Need to Know About Corporate Transparency in 2022,” The Nevada Independent, April 11, 2022</w:t>
      </w:r>
    </w:p>
    <w:p>
      <w:pPr>
        <w:pStyle w:val="BodyText"/>
        <w:spacing w:line="420" w:lineRule="auto" w:before="113"/>
        <w:ind w:left="99" w:right="788"/>
      </w:pP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BodyText"/>
        <w:spacing w:line="302" w:lineRule="auto"/>
        <w:ind w:left="99" w:right="413"/>
      </w:pPr>
      <w:r>
        <w:rPr>
          <w:color w:val="6E6158"/>
        </w:rPr>
        <w:t>Contributing Author, “State-by-State Guide to Commercial Real Estate Leases,” 2019-</w:t>
      </w:r>
      <w:r>
        <w:rPr>
          <w:color w:val="6E6158"/>
        </w:rPr>
        <w:t>2025 Editions, Nevada Chapter</w:t>
      </w:r>
    </w:p>
    <w:p>
      <w:pPr>
        <w:pStyle w:val="BodyText"/>
        <w:spacing w:before="10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99"/>
      </w:pPr>
      <w:r>
        <w:rPr>
          <w:color w:val="6E6158"/>
        </w:rPr>
        <w:t>Secretary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Director,</w:t>
      </w:r>
      <w:r>
        <w:rPr>
          <w:color w:val="6E6158"/>
          <w:spacing w:val="9"/>
        </w:rPr>
        <w:t> </w:t>
      </w:r>
      <w:r>
        <w:rPr>
          <w:color w:val="6E6158"/>
        </w:rPr>
        <w:t>Family</w:t>
      </w:r>
      <w:r>
        <w:rPr>
          <w:color w:val="6E6158"/>
          <w:spacing w:val="8"/>
        </w:rPr>
        <w:t> </w:t>
      </w:r>
      <w:r>
        <w:rPr>
          <w:color w:val="6E6158"/>
        </w:rPr>
        <w:t>Promise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Las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Vegas</w:t>
      </w:r>
    </w:p>
    <w:p>
      <w:pPr>
        <w:pStyle w:val="BodyText"/>
        <w:spacing w:line="292" w:lineRule="auto" w:before="182"/>
        <w:ind w:left="99" w:right="413"/>
      </w:pPr>
      <w:r>
        <w:rPr>
          <w:color w:val="6E6158"/>
        </w:rPr>
        <w:t>Pro Bono Attorney, Landlord/Tenant Ask-A-Lawyer Program, Legal Aid Center of Southern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walther@fennemorelaw.com" TargetMode="External"/><Relationship Id="rId11" Type="http://schemas.openxmlformats.org/officeDocument/2006/relationships/hyperlink" Target="https://practiceguides.chambers.com/practice-guides/corporate-ma-2026/usa-nevada/trends-and-developments" TargetMode="External"/><Relationship Id="rId12" Type="http://schemas.openxmlformats.org/officeDocument/2006/relationships/hyperlink" Target="https://www.reviewjournal.com/pc/business/fennemore-law/contract-terms-can-override-statute-of-limitations-nevada-supreme-court-rules/" TargetMode="External"/><Relationship Id="rId13" Type="http://schemas.openxmlformats.org/officeDocument/2006/relationships/hyperlink" Target="https://www.fennemorelaw.com/treasury-suspends-enforcement-of-corporate-transparency-act-proposes-narrowed-scope/" TargetMode="External"/><Relationship Id="rId14" Type="http://schemas.openxmlformats.org/officeDocument/2006/relationships/hyperlink" Target="https://www.fennemorelaw.com/client-alert-corporate-transparency-act-compliance-new-filing-deadline-compliance-tool/" TargetMode="External"/><Relationship Id="rId15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6" Type="http://schemas.openxmlformats.org/officeDocument/2006/relationships/hyperlink" Target="https://www.fennemorelaw.com/wp-content/uploads/2023/12/Corporate-Formation-Filings-and-Deadlines-Fennemore-Notice-to-Clients-re-CTA.pdf" TargetMode="External"/><Relationship Id="rId17" Type="http://schemas.openxmlformats.org/officeDocument/2006/relationships/hyperlink" Target="https://www.fennemorelaw.com/wp-content/uploads/2023/12/5-Traps-To-Avoid-When-Selling-CRE-In-Las-Vegas-Area-Law360.pdf" TargetMode="External"/><Relationship Id="rId18" Type="http://schemas.openxmlformats.org/officeDocument/2006/relationships/hyperlink" Target="https://www.fennemorelaw.com/traps-for-sellers-of-commercial-real-estate-in-clark-coun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Walther - Fennemore</dc:title>
  <dcterms:created xsi:type="dcterms:W3CDTF">2026-06-12T10:16:46Z</dcterms:created>
  <dcterms:modified xsi:type="dcterms:W3CDTF">2026-06-12T10:16:46Z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