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60267" y="1369338"/>
                            <a:ext cx="198437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4375" h="320675">
                                <a:moveTo>
                                  <a:pt x="198424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84248" y="320382"/>
                                </a:lnTo>
                                <a:lnTo>
                                  <a:pt x="1984248" y="315214"/>
                                </a:lnTo>
                                <a:close/>
                              </a:path>
                              <a:path w="1984375" h="320675">
                                <a:moveTo>
                                  <a:pt x="1984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84248" y="5168"/>
                                </a:lnTo>
                                <a:lnTo>
                                  <a:pt x="1984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61004" y="763308"/>
                            <a:ext cx="199834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DANIEL B.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MYERS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34971" y="1859626"/>
                            <a:ext cx="4502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15665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17513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1804" y="2226505"/>
                            <a:ext cx="14566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dmyers@fennemorelaw.com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42;top:-2501;width:3125;height:505" id="docshape5" coordorigin="6943,-2500" coordsize="3125,505" path="m10068,-2004l6943,-2004,6943,-1996,10068,-1996,10068,-2004xm10068,-2500l6943,-2500,6943,-2492,10068,-2492,10068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44;top:-3455;width:3147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DANIEL B.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MYERS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62;top:-1729;width:709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30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</w:p>
                    </w:txbxContent>
                  </v:textbox>
                  <w10:wrap type="none"/>
                </v:shape>
                <v:shape style="position:absolute;left:8765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7370;top:-1151;width:2294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dmyers@fennemorelaw.com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DANIEL</w:t>
      </w:r>
      <w:r>
        <w:rPr>
          <w:color w:val="FF8100"/>
          <w:spacing w:val="6"/>
        </w:rPr>
        <w:t> </w:t>
      </w:r>
      <w:r>
        <w:rPr>
          <w:color w:val="FF8100"/>
        </w:rPr>
        <w:t>B.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MYERS</w:t>
      </w:r>
    </w:p>
    <w:p>
      <w:pPr>
        <w:pStyle w:val="BodyText"/>
        <w:spacing w:line="302" w:lineRule="auto" w:before="147"/>
        <w:ind w:right="314"/>
      </w:pPr>
      <w:r>
        <w:rPr>
          <w:color w:val="6E6158"/>
        </w:rPr>
        <w:t>Dan Myers serves as Vice-Chair of Fennemore’s Real Estate practice group, bringing more than</w:t>
      </w:r>
      <w:r>
        <w:rPr>
          <w:color w:val="6E6158"/>
          <w:spacing w:val="40"/>
        </w:rPr>
        <w:t> </w:t>
      </w:r>
      <w:r>
        <w:rPr>
          <w:color w:val="6E6158"/>
        </w:rPr>
        <w:t>25</w:t>
      </w:r>
      <w:r>
        <w:rPr>
          <w:color w:val="6E6158"/>
          <w:spacing w:val="29"/>
        </w:rPr>
        <w:t> </w:t>
      </w:r>
      <w:r>
        <w:rPr>
          <w:color w:val="6E6158"/>
        </w:rPr>
        <w:t>years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representing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all</w:t>
      </w:r>
      <w:r>
        <w:rPr>
          <w:color w:val="6E6158"/>
          <w:spacing w:val="29"/>
        </w:rPr>
        <w:t> </w:t>
      </w:r>
      <w:r>
        <w:rPr>
          <w:color w:val="6E6158"/>
        </w:rPr>
        <w:t>aspects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complex</w:t>
      </w:r>
      <w:r>
        <w:rPr>
          <w:color w:val="6E6158"/>
          <w:spacing w:val="29"/>
        </w:rPr>
        <w:t> </w:t>
      </w:r>
      <w:r>
        <w:rPr>
          <w:color w:val="6E6158"/>
        </w:rPr>
        <w:t>commercial</w:t>
      </w:r>
      <w:r>
        <w:rPr>
          <w:color w:val="6E6158"/>
          <w:spacing w:val="29"/>
        </w:rPr>
        <w:t> </w:t>
      </w:r>
      <w:r>
        <w:rPr>
          <w:color w:val="6E6158"/>
        </w:rPr>
        <w:t>real</w:t>
      </w:r>
      <w:r>
        <w:rPr>
          <w:color w:val="6E6158"/>
          <w:spacing w:val="29"/>
        </w:rPr>
        <w:t> </w:t>
      </w:r>
      <w:r>
        <w:rPr>
          <w:color w:val="6E6158"/>
        </w:rPr>
        <w:t>estate</w:t>
      </w:r>
    </w:p>
    <w:p>
      <w:pPr>
        <w:pStyle w:val="BodyText"/>
        <w:spacing w:line="292" w:lineRule="auto"/>
        <w:ind w:right="401"/>
      </w:pPr>
      <w:r>
        <w:rPr>
          <w:color w:val="6E6158"/>
        </w:rPr>
        <w:t>transactions. Dan drafts and negotiates transactional documents, including leases, </w:t>
      </w:r>
      <w:r>
        <w:rPr>
          <w:color w:val="6E6158"/>
        </w:rPr>
        <w:t>purchase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sale</w:t>
      </w:r>
      <w:r>
        <w:rPr>
          <w:color w:val="6E6158"/>
          <w:spacing w:val="29"/>
        </w:rPr>
        <w:t> </w:t>
      </w:r>
      <w:r>
        <w:rPr>
          <w:color w:val="6E6158"/>
        </w:rPr>
        <w:t>agreements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loan</w:t>
      </w:r>
      <w:r>
        <w:rPr>
          <w:color w:val="6E6158"/>
          <w:spacing w:val="29"/>
        </w:rPr>
        <w:t> </w:t>
      </w:r>
      <w:r>
        <w:rPr>
          <w:color w:val="6E6158"/>
        </w:rPr>
        <w:t>documents.</w:t>
      </w:r>
      <w:r>
        <w:rPr>
          <w:color w:val="6E6158"/>
          <w:spacing w:val="29"/>
        </w:rPr>
        <w:t> </w:t>
      </w:r>
      <w:r>
        <w:rPr>
          <w:color w:val="6E6158"/>
        </w:rPr>
        <w:t>Dan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assists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resolving</w:t>
      </w:r>
      <w:r>
        <w:rPr>
          <w:color w:val="6E6158"/>
          <w:spacing w:val="29"/>
        </w:rPr>
        <w:t> </w:t>
      </w:r>
      <w:r>
        <w:rPr>
          <w:color w:val="6E6158"/>
        </w:rPr>
        <w:t>real</w:t>
      </w:r>
      <w:r>
        <w:rPr>
          <w:color w:val="6E6158"/>
          <w:spacing w:val="29"/>
        </w:rPr>
        <w:t> </w:t>
      </w:r>
      <w:r>
        <w:rPr>
          <w:color w:val="6E6158"/>
        </w:rPr>
        <w:t>estate</w:t>
      </w:r>
    </w:p>
    <w:p>
      <w:pPr>
        <w:pStyle w:val="BodyText"/>
        <w:spacing w:line="292" w:lineRule="auto"/>
        <w:ind w:right="401"/>
      </w:pPr>
      <w:r>
        <w:rPr>
          <w:color w:val="6E6158"/>
        </w:rPr>
        <w:t>disputes, and counsels clients on due diligence and land use issues. He has experience drafting</w:t>
      </w:r>
      <w:r>
        <w:rPr>
          <w:color w:val="6E6158"/>
          <w:spacing w:val="40"/>
        </w:rPr>
        <w:t> </w:t>
      </w:r>
      <w:r>
        <w:rPr>
          <w:color w:val="6E6158"/>
        </w:rPr>
        <w:t>green lease provisions and advising clients on the most effective strategies for maximizing real</w:t>
      </w:r>
      <w:r>
        <w:rPr>
          <w:color w:val="6E6158"/>
          <w:spacing w:val="40"/>
        </w:rPr>
        <w:t> </w:t>
      </w:r>
      <w:r>
        <w:rPr>
          <w:color w:val="6E6158"/>
        </w:rPr>
        <w:t>estate holdings and disposing of surplus properties.</w:t>
      </w:r>
    </w:p>
    <w:p>
      <w:pPr>
        <w:pStyle w:val="BodyText"/>
        <w:spacing w:line="295" w:lineRule="auto" w:before="197"/>
      </w:pPr>
      <w:r>
        <w:rPr>
          <w:color w:val="6E6158"/>
        </w:rPr>
        <w:t>In addition to his real estate practice, Dan counsels companies on advertising and promotional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32"/>
        </w:rPr>
        <w:t> </w:t>
      </w:r>
      <w:r>
        <w:rPr>
          <w:color w:val="6E6158"/>
        </w:rPr>
        <w:t>representing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fitness,</w:t>
      </w:r>
      <w:r>
        <w:rPr>
          <w:color w:val="6E6158"/>
          <w:spacing w:val="32"/>
        </w:rPr>
        <w:t> </w:t>
      </w:r>
      <w:r>
        <w:rPr>
          <w:color w:val="6E6158"/>
        </w:rPr>
        <w:t>food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retail</w:t>
      </w:r>
      <w:r>
        <w:rPr>
          <w:color w:val="6E6158"/>
          <w:spacing w:val="32"/>
        </w:rPr>
        <w:t> </w:t>
      </w:r>
      <w:r>
        <w:rPr>
          <w:color w:val="6E6158"/>
        </w:rPr>
        <w:t>industries.</w:t>
      </w:r>
      <w:r>
        <w:rPr>
          <w:color w:val="6E6158"/>
          <w:spacing w:val="32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reviews</w:t>
      </w:r>
      <w:r>
        <w:rPr>
          <w:color w:val="6E6158"/>
          <w:spacing w:val="32"/>
        </w:rPr>
        <w:t> </w:t>
      </w:r>
      <w:r>
        <w:rPr>
          <w:color w:val="6E6158"/>
        </w:rPr>
        <w:t>advertisements and promotional materials and advises clients on compliance with state and federal </w:t>
      </w:r>
      <w:r>
        <w:rPr>
          <w:color w:val="6E6158"/>
        </w:rPr>
        <w:t>advertising,</w:t>
      </w:r>
      <w:r>
        <w:rPr>
          <w:color w:val="6E6158"/>
          <w:spacing w:val="40"/>
        </w:rPr>
        <w:t> </w:t>
      </w:r>
      <w:r>
        <w:rPr>
          <w:color w:val="6E6158"/>
        </w:rPr>
        <w:t>pricing, disclosure, substantiation and sweepstakes laws and regulations.</w:t>
      </w:r>
    </w:p>
    <w:p>
      <w:pPr>
        <w:pStyle w:val="BodyText"/>
        <w:spacing w:line="295" w:lineRule="auto" w:before="197"/>
        <w:ind w:right="401"/>
      </w:pPr>
      <w:r>
        <w:rPr>
          <w:color w:val="6E6158"/>
        </w:rPr>
        <w:t>Dan has presented on real estate and advertising issues at the California State Bar’s Annual</w:t>
      </w:r>
      <w:r>
        <w:rPr>
          <w:color w:val="6E6158"/>
          <w:spacing w:val="40"/>
        </w:rPr>
        <w:t> </w:t>
      </w:r>
      <w:r>
        <w:rPr>
          <w:color w:val="6E6158"/>
        </w:rPr>
        <w:t>Meeting, the Real Property Law Section Retreat, the ICSC Law Conference and the </w:t>
      </w:r>
      <w:r>
        <w:rPr>
          <w:color w:val="6E6158"/>
        </w:rPr>
        <w:t>National</w:t>
      </w:r>
      <w:r>
        <w:rPr>
          <w:color w:val="6E6158"/>
          <w:spacing w:val="40"/>
        </w:rPr>
        <w:t> </w:t>
      </w:r>
      <w:r>
        <w:rPr>
          <w:color w:val="6E6158"/>
        </w:rPr>
        <w:t>Retail Tenants Association’s Annual Conference. Dan previously served on the Executive Committee of the Real Property Law Section of the State Bar of California.</w:t>
      </w:r>
    </w:p>
    <w:p>
      <w:pPr>
        <w:spacing w:before="186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He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is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co-author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several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chapters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Retail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Leasing: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Drafting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Negotiating</w:t>
      </w:r>
      <w:r>
        <w:rPr>
          <w:i/>
          <w:color w:val="6E6158"/>
          <w:spacing w:val="-5"/>
          <w:sz w:val="20"/>
        </w:rPr>
        <w:t> the</w:t>
      </w:r>
    </w:p>
    <w:p>
      <w:pPr>
        <w:spacing w:line="290" w:lineRule="auto" w:before="48"/>
        <w:ind w:left="99" w:right="401" w:firstLine="0"/>
        <w:jc w:val="left"/>
        <w:rPr>
          <w:sz w:val="19"/>
        </w:rPr>
      </w:pPr>
      <w:r>
        <w:rPr>
          <w:i/>
          <w:color w:val="6E6158"/>
          <w:sz w:val="20"/>
        </w:rPr>
        <w:t>Lease </w:t>
      </w:r>
      <w:r>
        <w:rPr>
          <w:color w:val="6E6158"/>
          <w:sz w:val="19"/>
        </w:rPr>
        <w:t>and </w:t>
      </w:r>
      <w:r>
        <w:rPr>
          <w:i/>
          <w:color w:val="6E6158"/>
          <w:sz w:val="20"/>
        </w:rPr>
        <w:t>Office Leasing: Drafting and Negotiating the Lease </w:t>
      </w:r>
      <w:r>
        <w:rPr>
          <w:color w:val="6E6158"/>
          <w:sz w:val="19"/>
        </w:rPr>
        <w:t>published by CEB (Continuing Education of the Bar). In addition to his legal practice, Dan teaches as an adjunct professor at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UC Law San Francisco (UC Hastings).</w:t>
      </w:r>
    </w:p>
    <w:p>
      <w:pPr>
        <w:pStyle w:val="Heading1"/>
        <w:spacing w:before="174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spacing w:before="0"/>
        <w:ind w:left="154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Santa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Clara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  <w:ind w:left="154"/>
      </w:pP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</w:rPr>
        <w:t>Berkeley,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distinction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2"/>
      </w:pPr>
      <w:r>
        <w:rPr>
          <w:color w:val="6E6158"/>
        </w:rPr>
        <w:t>OTHER</w:t>
      </w:r>
      <w:r>
        <w:rPr>
          <w:color w:val="6E6158"/>
          <w:spacing w:val="-10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29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Advertising</w:t>
      </w:r>
    </w:p>
    <w:p>
      <w:pPr>
        <w:pStyle w:val="BodyText"/>
        <w:spacing w:before="173"/>
      </w:pPr>
      <w:r>
        <w:rPr>
          <w:color w:val="6E6158"/>
        </w:rPr>
        <w:t>Craft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Brewing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line="422" w:lineRule="auto" w:before="174"/>
        <w:ind w:right="7444"/>
      </w:pPr>
      <w:r>
        <w:rPr>
          <w:color w:val="6E6158"/>
        </w:rPr>
        <w:t>Food &amp; Beverage Land Use Advanced Energy Apparel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Fashion</w:t>
      </w:r>
    </w:p>
    <w:p>
      <w:pPr>
        <w:pStyle w:val="Heading1"/>
        <w:spacing w:before="279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Heading3"/>
        <w:spacing w:before="147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spacing w:line="292" w:lineRule="auto"/>
        <w:ind w:right="401"/>
      </w:pPr>
      <w:r>
        <w:rPr>
          <w:color w:val="6E6158"/>
        </w:rPr>
        <w:t>Represents regional real estate developer/operator in purchase and sale and </w:t>
      </w:r>
      <w:r>
        <w:rPr>
          <w:color w:val="6E6158"/>
        </w:rPr>
        <w:t>leasing transactions for office and mixed-use buildings in Oakland.</w:t>
      </w:r>
    </w:p>
    <w:p>
      <w:pPr>
        <w:pStyle w:val="BodyText"/>
        <w:spacing w:line="292" w:lineRule="auto" w:before="123"/>
        <w:ind w:right="1111"/>
      </w:pPr>
      <w:r>
        <w:rPr>
          <w:color w:val="6E6158"/>
        </w:rPr>
        <w:t>Represents national health and fitness center chain in lease transactions </w:t>
      </w:r>
      <w:r>
        <w:rPr>
          <w:color w:val="6E6158"/>
        </w:rPr>
        <w:t>throughout </w:t>
      </w:r>
      <w:r>
        <w:rPr>
          <w:color w:val="6E6158"/>
          <w:spacing w:val="-2"/>
        </w:rPr>
        <w:t>California.</w:t>
      </w:r>
    </w:p>
    <w:p>
      <w:pPr>
        <w:pStyle w:val="BodyText"/>
        <w:spacing w:line="292" w:lineRule="auto" w:before="132"/>
        <w:ind w:right="401"/>
      </w:pPr>
      <w:r>
        <w:rPr>
          <w:color w:val="6E6158"/>
        </w:rPr>
        <w:t>Represented biotech and life sciences companies in leasing transactions for lab and </w:t>
      </w:r>
      <w:r>
        <w:rPr>
          <w:color w:val="6E6158"/>
        </w:rPr>
        <w:t>office</w:t>
      </w:r>
      <w:r>
        <w:rPr>
          <w:color w:val="6E6158"/>
          <w:spacing w:val="40"/>
        </w:rPr>
        <w:t> </w:t>
      </w:r>
      <w:r>
        <w:rPr>
          <w:color w:val="6E6158"/>
        </w:rPr>
        <w:t>space in Emeryville, San Mateo, Burlingame and South San Francisco.</w:t>
      </w:r>
    </w:p>
    <w:p>
      <w:pPr>
        <w:pStyle w:val="BodyText"/>
        <w:spacing w:line="302" w:lineRule="auto" w:before="123"/>
        <w:ind w:right="529"/>
      </w:pPr>
      <w:r>
        <w:rPr>
          <w:color w:val="6E6158"/>
        </w:rPr>
        <w:t>Represents</w:t>
      </w:r>
      <w:r>
        <w:rPr>
          <w:color w:val="6E6158"/>
          <w:spacing w:val="16"/>
        </w:rPr>
        <w:t> </w:t>
      </w:r>
      <w:r>
        <w:rPr>
          <w:color w:val="6E6158"/>
        </w:rPr>
        <w:t>regional</w:t>
      </w:r>
      <w:r>
        <w:rPr>
          <w:color w:val="6E6158"/>
          <w:spacing w:val="16"/>
        </w:rPr>
        <w:t> </w:t>
      </w:r>
      <w:r>
        <w:rPr>
          <w:color w:val="6E6158"/>
        </w:rPr>
        <w:t>restaurant</w:t>
      </w:r>
      <w:r>
        <w:rPr>
          <w:color w:val="6E6158"/>
          <w:spacing w:val="16"/>
        </w:rPr>
        <w:t> </w:t>
      </w:r>
      <w:r>
        <w:rPr>
          <w:color w:val="6E6158"/>
        </w:rPr>
        <w:t>chain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acquisition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development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single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multi-tenant retail properties.</w:t>
      </w:r>
    </w:p>
    <w:p>
      <w:pPr>
        <w:pStyle w:val="BodyText"/>
        <w:spacing w:line="292" w:lineRule="auto" w:before="113"/>
      </w:pPr>
      <w:r>
        <w:rPr>
          <w:color w:val="6E6158"/>
        </w:rPr>
        <w:t>Represented multi-state parking garage operator in sale of property for development of high-</w:t>
      </w:r>
      <w:r>
        <w:rPr>
          <w:color w:val="6E6158"/>
        </w:rPr>
        <w:t>rise</w:t>
      </w:r>
      <w:r>
        <w:rPr>
          <w:color w:val="6E6158"/>
          <w:spacing w:val="40"/>
        </w:rPr>
        <w:t> </w:t>
      </w:r>
      <w:r>
        <w:rPr>
          <w:color w:val="6E6158"/>
        </w:rPr>
        <w:t>residential</w:t>
      </w:r>
      <w:r>
        <w:rPr>
          <w:color w:val="6E6158"/>
          <w:spacing w:val="35"/>
        </w:rPr>
        <w:t> </w:t>
      </w:r>
      <w:r>
        <w:rPr>
          <w:color w:val="6E6158"/>
        </w:rPr>
        <w:t>building,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right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repurchase</w:t>
      </w:r>
      <w:r>
        <w:rPr>
          <w:color w:val="6E6158"/>
          <w:spacing w:val="35"/>
        </w:rPr>
        <w:t> </w:t>
      </w:r>
      <w:r>
        <w:rPr>
          <w:color w:val="6E6158"/>
        </w:rPr>
        <w:t>office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parking</w:t>
      </w:r>
      <w:r>
        <w:rPr>
          <w:color w:val="6E6158"/>
          <w:spacing w:val="35"/>
        </w:rPr>
        <w:t> </w:t>
      </w:r>
      <w:r>
        <w:rPr>
          <w:color w:val="6E6158"/>
        </w:rPr>
        <w:t>lot</w:t>
      </w:r>
      <w:r>
        <w:rPr>
          <w:color w:val="6E6158"/>
          <w:spacing w:val="35"/>
        </w:rPr>
        <w:t> </w:t>
      </w:r>
      <w:r>
        <w:rPr>
          <w:color w:val="6E6158"/>
        </w:rPr>
        <w:t>commercial</w:t>
      </w:r>
      <w:r>
        <w:rPr>
          <w:color w:val="6E6158"/>
          <w:spacing w:val="35"/>
        </w:rPr>
        <w:t> </w:t>
      </w:r>
      <w:r>
        <w:rPr>
          <w:color w:val="6E6158"/>
        </w:rPr>
        <w:t>condominium units in project.</w:t>
      </w:r>
    </w:p>
    <w:p>
      <w:pPr>
        <w:pStyle w:val="BodyText"/>
        <w:spacing w:line="292" w:lineRule="auto" w:before="132"/>
        <w:ind w:right="401"/>
      </w:pPr>
      <w:r>
        <w:rPr>
          <w:color w:val="6E6158"/>
        </w:rPr>
        <w:t>Represented regional hardware and garden company in leases for new locations and assisted</w:t>
      </w:r>
      <w:r>
        <w:rPr>
          <w:color w:val="6E6158"/>
          <w:spacing w:val="40"/>
        </w:rPr>
        <w:t> </w:t>
      </w:r>
      <w:r>
        <w:rPr>
          <w:color w:val="6E6158"/>
        </w:rPr>
        <w:t>the company in renegotiating leases during bankruptcy proceedings.</w:t>
      </w:r>
    </w:p>
    <w:p>
      <w:pPr>
        <w:pStyle w:val="BodyText"/>
        <w:spacing w:line="292" w:lineRule="auto" w:before="123"/>
        <w:ind w:right="401"/>
      </w:pPr>
      <w:r>
        <w:rPr>
          <w:color w:val="6E6158"/>
        </w:rPr>
        <w:t>Represented financial services firms leasing class-A office buildings in Oakland and </w:t>
      </w:r>
      <w:r>
        <w:rPr>
          <w:color w:val="6E6158"/>
        </w:rPr>
        <w:t>San </w:t>
      </w:r>
      <w:r>
        <w:rPr>
          <w:color w:val="6E6158"/>
          <w:spacing w:val="-2"/>
        </w:rPr>
        <w:t>Francisco.</w:t>
      </w:r>
    </w:p>
    <w:p>
      <w:pPr>
        <w:pStyle w:val="BodyText"/>
        <w:spacing w:line="292" w:lineRule="auto" w:before="132"/>
      </w:pPr>
      <w:r>
        <w:rPr>
          <w:color w:val="6E6158"/>
        </w:rPr>
        <w:t>Represented national pet food and food manufacturing company in office and industrial </w:t>
      </w:r>
      <w:r>
        <w:rPr>
          <w:color w:val="6E6158"/>
        </w:rPr>
        <w:t>lease</w:t>
      </w:r>
      <w:r>
        <w:rPr>
          <w:color w:val="6E6158"/>
          <w:spacing w:val="40"/>
        </w:rPr>
        <w:t> </w:t>
      </w:r>
      <w:r>
        <w:rPr>
          <w:color w:val="6E6158"/>
        </w:rPr>
        <w:t>transactions</w:t>
      </w:r>
      <w:r>
        <w:rPr>
          <w:color w:val="6E6158"/>
          <w:spacing w:val="33"/>
        </w:rPr>
        <w:t> </w:t>
      </w:r>
      <w:r>
        <w:rPr>
          <w:color w:val="6E6158"/>
        </w:rPr>
        <w:t>across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country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sale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industrial,</w:t>
      </w:r>
      <w:r>
        <w:rPr>
          <w:color w:val="6E6158"/>
          <w:spacing w:val="33"/>
        </w:rPr>
        <w:t> </w:t>
      </w:r>
      <w:r>
        <w:rPr>
          <w:color w:val="6E6158"/>
        </w:rPr>
        <w:t>warehouse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manufacturing</w:t>
      </w:r>
      <w:r>
        <w:rPr>
          <w:color w:val="6E6158"/>
          <w:spacing w:val="33"/>
        </w:rPr>
        <w:t> </w:t>
      </w:r>
      <w:r>
        <w:rPr>
          <w:color w:val="6E6158"/>
        </w:rPr>
        <w:t>facilities.</w:t>
      </w:r>
    </w:p>
    <w:p>
      <w:pPr>
        <w:pStyle w:val="BodyText"/>
        <w:spacing w:line="292" w:lineRule="auto" w:before="123"/>
        <w:ind w:right="401"/>
      </w:pPr>
      <w:r>
        <w:rPr>
          <w:color w:val="6E6158"/>
        </w:rPr>
        <w:t>Represented craft-brewer in negotiating lease for 90,000 square foot industrial building for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brewery, restaurant and offices.</w:t>
      </w:r>
    </w:p>
    <w:p>
      <w:pPr>
        <w:pStyle w:val="BodyText"/>
        <w:spacing w:line="292" w:lineRule="auto" w:before="131"/>
      </w:pPr>
      <w:r>
        <w:rPr>
          <w:color w:val="6E6158"/>
        </w:rPr>
        <w:t>Represented developer in negotiating construction, loan, intercreditor and lease agreements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acquisition, financing, construction and leasing of mixed-use center, including condominiums,</w:t>
      </w:r>
      <w:r>
        <w:rPr>
          <w:color w:val="6E6158"/>
          <w:spacing w:val="40"/>
        </w:rPr>
        <w:t> </w:t>
      </w:r>
      <w:r>
        <w:rPr>
          <w:color w:val="6E6158"/>
        </w:rPr>
        <w:t>restaurants and parking garage.</w:t>
      </w:r>
    </w:p>
    <w:p>
      <w:pPr>
        <w:pStyle w:val="BodyText"/>
        <w:spacing w:before="21"/>
        <w:ind w:left="0"/>
      </w:pPr>
    </w:p>
    <w:p>
      <w:pPr>
        <w:pStyle w:val="Heading3"/>
      </w:pPr>
      <w:r>
        <w:rPr>
          <w:color w:val="6E6158"/>
          <w:spacing w:val="-2"/>
        </w:rPr>
        <w:t>Advertising</w:t>
      </w:r>
    </w:p>
    <w:p>
      <w:pPr>
        <w:pStyle w:val="BodyText"/>
        <w:spacing w:before="15"/>
        <w:ind w:left="0"/>
        <w:rPr>
          <w:b/>
        </w:rPr>
      </w:pPr>
    </w:p>
    <w:p>
      <w:pPr>
        <w:pStyle w:val="BodyText"/>
        <w:spacing w:line="292" w:lineRule="auto"/>
        <w:ind w:right="401"/>
      </w:pPr>
      <w:r>
        <w:rPr>
          <w:color w:val="6E6158"/>
        </w:rPr>
        <w:t>Represents fitness and other companies reviewing and providing advice on pricing, </w:t>
      </w:r>
      <w:r>
        <w:rPr>
          <w:color w:val="6E6158"/>
        </w:rPr>
        <w:t>advertising</w:t>
      </w:r>
      <w:r>
        <w:rPr>
          <w:color w:val="6E6158"/>
          <w:spacing w:val="40"/>
        </w:rPr>
        <w:t> </w:t>
      </w:r>
      <w:r>
        <w:rPr>
          <w:color w:val="6E6158"/>
        </w:rPr>
        <w:t>and disclosure requirements and best practices.</w:t>
      </w:r>
    </w:p>
    <w:p>
      <w:pPr>
        <w:pStyle w:val="BodyText"/>
        <w:spacing w:line="302" w:lineRule="auto" w:before="123"/>
        <w:ind w:right="1111"/>
      </w:pPr>
      <w:r>
        <w:rPr>
          <w:color w:val="6E6158"/>
        </w:rPr>
        <w:t>Assists companies with design and implementation of sweepstakes and </w:t>
      </w:r>
      <w:r>
        <w:rPr>
          <w:color w:val="6E6158"/>
        </w:rPr>
        <w:t>promotional </w:t>
      </w:r>
      <w:r>
        <w:rPr>
          <w:color w:val="6E6158"/>
          <w:spacing w:val="-2"/>
        </w:rPr>
        <w:t>activities.</w:t>
      </w:r>
    </w:p>
    <w:p>
      <w:pPr>
        <w:pStyle w:val="BodyText"/>
        <w:spacing w:before="10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</w:pPr>
      <w:r>
        <w:rPr>
          <w:color w:val="6E6158"/>
        </w:rPr>
        <w:t>Author, “</w:t>
      </w:r>
      <w:hyperlink r:id="rId11">
        <w:r>
          <w:rPr>
            <w:color w:val="F5821F"/>
          </w:rPr>
          <w:t>Bay Area commercial real estate at a crossroads: Transactional activity, legal risk, and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opportunities</w:t>
        </w:r>
      </w:hyperlink>
      <w:r>
        <w:rPr>
          <w:color w:val="6E6158"/>
        </w:rPr>
        <w:t>,” San Francisco Business Times, August 8, 2025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401"/>
      </w:pPr>
      <w:r>
        <w:rPr>
          <w:color w:val="6E6158"/>
        </w:rPr>
        <w:t>Featuring, “Fennemore attorney Daniel Myers on Bay Area commercial real estate transactions</w:t>
      </w:r>
      <w:r>
        <w:rPr>
          <w:color w:val="6E6158"/>
          <w:spacing w:val="40"/>
        </w:rPr>
        <w:t> </w:t>
      </w:r>
      <w:r>
        <w:rPr>
          <w:color w:val="6E6158"/>
        </w:rPr>
        <w:t>and trends”, San Francisco Business Times, August 1, 2024</w:t>
      </w:r>
    </w:p>
    <w:p>
      <w:pPr>
        <w:pStyle w:val="BodyText"/>
        <w:spacing w:line="292" w:lineRule="auto" w:before="132"/>
        <w:ind w:right="401"/>
      </w:pPr>
      <w:r>
        <w:rPr>
          <w:color w:val="6E6158"/>
        </w:rPr>
        <w:t>Featuring, “Fennemore attorney Daniel Myers on CRE trends, advice for tenants and landlords”,</w:t>
      </w:r>
      <w:r>
        <w:rPr>
          <w:color w:val="6E6158"/>
          <w:spacing w:val="40"/>
        </w:rPr>
        <w:t> </w:t>
      </w:r>
      <w:r>
        <w:rPr>
          <w:color w:val="6E6158"/>
        </w:rPr>
        <w:t>San Francisco Business Times, May 1, 2023</w:t>
      </w:r>
    </w:p>
    <w:p>
      <w:pPr>
        <w:pStyle w:val="BodyText"/>
        <w:spacing w:line="292" w:lineRule="auto" w:before="123"/>
        <w:ind w:right="401"/>
      </w:pPr>
      <w:hyperlink r:id="rId12">
        <w:r>
          <w:rPr>
            <w:color w:val="F5821F"/>
          </w:rPr>
          <w:t>Interview, “Twitter vs. Landlord Lawsuit Could Take Years To Resolve,” The Registry, January 23,</w:t>
        </w:r>
      </w:hyperlink>
      <w:r>
        <w:rPr>
          <w:color w:val="F5821F"/>
        </w:rPr>
        <w:t> </w:t>
      </w:r>
      <w:hyperlink r:id="rId12"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420" w:lineRule="auto" w:before="131"/>
        <w:ind w:right="1111"/>
      </w:pPr>
      <w:r>
        <w:rPr>
          <w:color w:val="6E6158"/>
        </w:rPr>
        <w:t>Speaker, “Restaurant Leasing”, National Retail Tenants Association, September </w:t>
      </w:r>
      <w:r>
        <w:rPr>
          <w:color w:val="6E6158"/>
        </w:rPr>
        <w:t>2022 Moderator, “Going Dark”, National Retail Tenants Association, September 2022</w:t>
      </w:r>
    </w:p>
    <w:p>
      <w:pPr>
        <w:pStyle w:val="BodyText"/>
        <w:spacing w:line="288" w:lineRule="auto"/>
        <w:ind w:right="401"/>
      </w:pPr>
      <w:r>
        <w:rPr>
          <w:color w:val="6E6158"/>
        </w:rPr>
        <w:t>Author, “Two Years In: Trends Are Emerging in Commercial Office Leasing,” </w:t>
      </w:r>
      <w:r>
        <w:rPr>
          <w:i/>
          <w:color w:val="6E6158"/>
          <w:sz w:val="20"/>
        </w:rPr>
        <w:t>Daily Journal, </w:t>
      </w:r>
      <w:r>
        <w:rPr>
          <w:color w:val="6E6158"/>
        </w:rPr>
        <w:t>May </w:t>
      </w:r>
      <w:r>
        <w:rPr>
          <w:color w:val="6E6158"/>
          <w:spacing w:val="-4"/>
        </w:rPr>
        <w:t>2022</w:t>
      </w:r>
    </w:p>
    <w:p>
      <w:pPr>
        <w:pStyle w:val="BodyText"/>
        <w:spacing w:before="125"/>
      </w:pPr>
      <w:r>
        <w:rPr>
          <w:color w:val="6E6158"/>
        </w:rPr>
        <w:t>Panelist,</w:t>
      </w:r>
      <w:r>
        <w:rPr>
          <w:color w:val="6E6158"/>
          <w:spacing w:val="12"/>
        </w:rPr>
        <w:t> </w:t>
      </w:r>
      <w:r>
        <w:rPr>
          <w:color w:val="6E6158"/>
        </w:rPr>
        <w:t>“East</w:t>
      </w:r>
      <w:r>
        <w:rPr>
          <w:color w:val="6E6158"/>
          <w:spacing w:val="13"/>
        </w:rPr>
        <w:t> </w:t>
      </w:r>
      <w:r>
        <w:rPr>
          <w:color w:val="6E6158"/>
        </w:rPr>
        <w:t>Bay</w:t>
      </w:r>
      <w:r>
        <w:rPr>
          <w:color w:val="6E6158"/>
          <w:spacing w:val="13"/>
        </w:rPr>
        <w:t> </w:t>
      </w:r>
      <w:r>
        <w:rPr>
          <w:color w:val="6E6158"/>
        </w:rPr>
        <w:t>Developer</w:t>
      </w:r>
      <w:r>
        <w:rPr>
          <w:color w:val="6E6158"/>
          <w:spacing w:val="13"/>
        </w:rPr>
        <w:t> </w:t>
      </w:r>
      <w:r>
        <w:rPr>
          <w:color w:val="6E6158"/>
        </w:rPr>
        <w:t>Forum,”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Registry,</w:t>
      </w:r>
      <w:r>
        <w:rPr>
          <w:color w:val="6E6158"/>
          <w:spacing w:val="13"/>
        </w:rPr>
        <w:t> </w:t>
      </w:r>
      <w:r>
        <w:rPr>
          <w:color w:val="6E6158"/>
        </w:rPr>
        <w:t>May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4"/>
      </w:pPr>
      <w:r>
        <w:rPr>
          <w:color w:val="6E6158"/>
        </w:rPr>
        <w:t>Roundtable Moderator, “Assignment and Subletting: Trends, Issues and Best Practices,” ICSC </w:t>
      </w:r>
      <w:r>
        <w:rPr>
          <w:color w:val="6E6158"/>
        </w:rPr>
        <w:t>Law Conference, November 2021</w:t>
      </w:r>
    </w:p>
    <w:p>
      <w:pPr>
        <w:pStyle w:val="BodyText"/>
        <w:spacing w:line="302" w:lineRule="auto" w:before="123"/>
        <w:ind w:right="401"/>
      </w:pPr>
      <w:r>
        <w:rPr>
          <w:color w:val="6E6158"/>
        </w:rPr>
        <w:t>Speaker, “Estoppels &amp; SNDAs: Just Got One, What Do I Do Now?,” National Retail Tenants Association, February 2021</w:t>
      </w:r>
    </w:p>
    <w:p>
      <w:pPr>
        <w:pStyle w:val="BodyText"/>
        <w:spacing w:before="103"/>
      </w:pPr>
      <w:r>
        <w:rPr>
          <w:color w:val="6E6158"/>
        </w:rPr>
        <w:t>Author,</w:t>
      </w:r>
      <w:r>
        <w:rPr>
          <w:color w:val="6E6158"/>
          <w:spacing w:val="5"/>
        </w:rPr>
        <w:t> </w:t>
      </w:r>
      <w:r>
        <w:rPr>
          <w:color w:val="6E6158"/>
        </w:rPr>
        <w:t>“Surviving</w:t>
      </w:r>
      <w:r>
        <w:rPr>
          <w:color w:val="6E6158"/>
          <w:spacing w:val="5"/>
        </w:rPr>
        <w:t> </w:t>
      </w:r>
      <w:r>
        <w:rPr>
          <w:color w:val="6E6158"/>
        </w:rPr>
        <w:t>the</w:t>
      </w:r>
      <w:r>
        <w:rPr>
          <w:color w:val="6E6158"/>
          <w:spacing w:val="5"/>
        </w:rPr>
        <w:t> </w:t>
      </w:r>
      <w:r>
        <w:rPr>
          <w:color w:val="6E6158"/>
        </w:rPr>
        <w:t>Retail</w:t>
      </w:r>
      <w:r>
        <w:rPr>
          <w:color w:val="6E6158"/>
          <w:spacing w:val="5"/>
        </w:rPr>
        <w:t> </w:t>
      </w:r>
      <w:r>
        <w:rPr>
          <w:color w:val="6E6158"/>
        </w:rPr>
        <w:t>Apocalypse</w:t>
      </w:r>
      <w:r>
        <w:rPr>
          <w:color w:val="6E6158"/>
          <w:spacing w:val="5"/>
        </w:rPr>
        <w:t> </w:t>
      </w:r>
      <w:r>
        <w:rPr>
          <w:color w:val="6E6158"/>
        </w:rPr>
        <w:t>–</w:t>
      </w:r>
      <w:r>
        <w:rPr>
          <w:color w:val="6E6158"/>
          <w:spacing w:val="5"/>
        </w:rPr>
        <w:t> </w:t>
      </w:r>
      <w:r>
        <w:rPr>
          <w:color w:val="6E6158"/>
        </w:rPr>
        <w:t>Are</w:t>
      </w:r>
      <w:r>
        <w:rPr>
          <w:color w:val="6E6158"/>
          <w:spacing w:val="5"/>
        </w:rPr>
        <w:t> </w:t>
      </w:r>
      <w:r>
        <w:rPr>
          <w:color w:val="6E6158"/>
        </w:rPr>
        <w:t>you</w:t>
      </w:r>
      <w:r>
        <w:rPr>
          <w:color w:val="6E6158"/>
          <w:spacing w:val="5"/>
        </w:rPr>
        <w:t> </w:t>
      </w:r>
      <w:r>
        <w:rPr>
          <w:color w:val="6E6158"/>
        </w:rPr>
        <w:t>Prepared?,”</w:t>
      </w:r>
      <w:r>
        <w:rPr>
          <w:color w:val="6E6158"/>
          <w:spacing w:val="6"/>
        </w:rPr>
        <w:t> </w:t>
      </w:r>
      <w:r>
        <w:rPr>
          <w:i/>
          <w:color w:val="6E6158"/>
          <w:sz w:val="20"/>
        </w:rPr>
        <w:t>Retail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IT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Insights</w:t>
      </w:r>
      <w:r>
        <w:rPr>
          <w:color w:val="6E6158"/>
        </w:rPr>
        <w:t>,</w:t>
      </w:r>
      <w:r>
        <w:rPr>
          <w:color w:val="6E6158"/>
          <w:spacing w:val="5"/>
        </w:rPr>
        <w:t> </w:t>
      </w:r>
      <w:r>
        <w:rPr>
          <w:color w:val="6E6158"/>
        </w:rPr>
        <w:t>June</w:t>
      </w:r>
      <w:r>
        <w:rPr>
          <w:color w:val="6E6158"/>
          <w:spacing w:val="5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302" w:lineRule="auto" w:before="171"/>
        <w:ind w:right="401"/>
      </w:pPr>
      <w:r>
        <w:rPr>
          <w:color w:val="6E6158"/>
        </w:rPr>
        <w:t>Speaker, “Commercial Sale Transactions,” Continuing Education of the Bar (CEB) Webinar, October 2019</w:t>
      </w:r>
    </w:p>
    <w:p>
      <w:pPr>
        <w:pStyle w:val="BodyText"/>
        <w:spacing w:line="292" w:lineRule="auto" w:before="113"/>
      </w:pPr>
      <w:r>
        <w:rPr>
          <w:color w:val="6E6158"/>
        </w:rPr>
        <w:t>Speaker, “Commercial Leasing Transactions,” Continuing Education of the Bar (CEB) Webinar, October 2019</w:t>
      </w:r>
    </w:p>
    <w:p>
      <w:pPr>
        <w:pStyle w:val="BodyText"/>
        <w:spacing w:before="124"/>
      </w:pPr>
      <w:r>
        <w:rPr>
          <w:color w:val="6E6158"/>
        </w:rPr>
        <w:t>Speaker,</w:t>
      </w:r>
      <w:r>
        <w:rPr>
          <w:color w:val="6E6158"/>
          <w:spacing w:val="12"/>
        </w:rPr>
        <w:t> </w:t>
      </w:r>
      <w:r>
        <w:rPr>
          <w:color w:val="6E6158"/>
        </w:rPr>
        <w:t>“CRE</w:t>
      </w:r>
      <w:r>
        <w:rPr>
          <w:color w:val="6E6158"/>
          <w:spacing w:val="12"/>
        </w:rPr>
        <w:t> </w:t>
      </w:r>
      <w:r>
        <w:rPr>
          <w:color w:val="6E6158"/>
        </w:rPr>
        <w:t>Legal</w:t>
      </w:r>
      <w:r>
        <w:rPr>
          <w:color w:val="6E6158"/>
          <w:spacing w:val="13"/>
        </w:rPr>
        <w:t> </w:t>
      </w:r>
      <w:r>
        <w:rPr>
          <w:color w:val="6E6158"/>
        </w:rPr>
        <w:t>Update,”</w:t>
      </w:r>
      <w:r>
        <w:rPr>
          <w:color w:val="6E6158"/>
          <w:spacing w:val="12"/>
        </w:rPr>
        <w:t> </w:t>
      </w:r>
      <w:r>
        <w:rPr>
          <w:color w:val="6E6158"/>
        </w:rPr>
        <w:t>CCIM</w:t>
      </w:r>
      <w:r>
        <w:rPr>
          <w:color w:val="6E6158"/>
          <w:spacing w:val="12"/>
        </w:rPr>
        <w:t> </w:t>
      </w:r>
      <w:r>
        <w:rPr>
          <w:color w:val="6E6158"/>
        </w:rPr>
        <w:t>Institute</w:t>
      </w:r>
      <w:r>
        <w:rPr>
          <w:color w:val="6E6158"/>
          <w:spacing w:val="13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Chapter,</w:t>
      </w:r>
      <w:r>
        <w:rPr>
          <w:color w:val="6E6158"/>
          <w:spacing w:val="12"/>
        </w:rPr>
        <w:t> </w:t>
      </w:r>
      <w:r>
        <w:rPr>
          <w:color w:val="6E6158"/>
        </w:rPr>
        <w:t>September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2019</w:t>
      </w:r>
    </w:p>
    <w:p>
      <w:pPr>
        <w:spacing w:line="278" w:lineRule="auto" w:before="172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Author, “Office Leasing: Drafting and Negotiating the Lease,” </w:t>
      </w:r>
      <w:r>
        <w:rPr>
          <w:i/>
          <w:color w:val="6E6158"/>
          <w:sz w:val="20"/>
        </w:rPr>
        <w:t>California Continuing Education </w:t>
      </w:r>
      <w:r>
        <w:rPr>
          <w:i/>
          <w:color w:val="6E6158"/>
          <w:sz w:val="20"/>
        </w:rPr>
        <w:t>of</w:t>
      </w:r>
      <w:r>
        <w:rPr>
          <w:i/>
          <w:color w:val="6E6158"/>
          <w:sz w:val="20"/>
        </w:rPr>
        <w:t> the Bar</w:t>
      </w:r>
      <w:r>
        <w:rPr>
          <w:color w:val="6E6158"/>
          <w:sz w:val="19"/>
        </w:rPr>
        <w:t>, “Chapter 45: Green Leasing,” and update editor</w:t>
      </w:r>
    </w:p>
    <w:p>
      <w:pPr>
        <w:pStyle w:val="BodyText"/>
        <w:spacing w:line="288" w:lineRule="auto" w:before="122"/>
        <w:ind w:right="257"/>
      </w:pPr>
      <w:r>
        <w:rPr>
          <w:color w:val="6E6158"/>
        </w:rPr>
        <w:t>Author, “Retail Leasing: Drafting and Negotiating the Lease,” </w:t>
      </w:r>
      <w:r>
        <w:rPr>
          <w:i/>
          <w:color w:val="6E6158"/>
          <w:sz w:val="20"/>
        </w:rPr>
        <w:t>California Continuing Education </w:t>
      </w:r>
      <w:r>
        <w:rPr>
          <w:i/>
          <w:color w:val="6E6158"/>
          <w:sz w:val="20"/>
        </w:rPr>
        <w:t>of</w:t>
      </w:r>
      <w:r>
        <w:rPr>
          <w:i/>
          <w:color w:val="6E6158"/>
          <w:sz w:val="20"/>
        </w:rPr>
        <w:t> the Bar</w:t>
      </w:r>
      <w:r>
        <w:rPr>
          <w:color w:val="6E6158"/>
        </w:rPr>
        <w:t>, “Chapters 22 (Signage), 41 (Estoppel Certificates) and 44 (Subordination,</w:t>
      </w:r>
      <w:r>
        <w:rPr>
          <w:color w:val="6E6158"/>
          <w:spacing w:val="80"/>
        </w:rPr>
        <w:t> </w:t>
      </w:r>
      <w:r>
        <w:rPr>
          <w:color w:val="6E6158"/>
        </w:rPr>
        <w:t>Nondisturbance and Attornment),” and update editor</w:t>
      </w:r>
    </w:p>
    <w:p>
      <w:pPr>
        <w:pStyle w:val="BodyText"/>
        <w:spacing w:line="292" w:lineRule="auto" w:before="127"/>
      </w:pPr>
      <w:r>
        <w:rPr>
          <w:color w:val="6E6158"/>
        </w:rPr>
        <w:t>Guest Lecturer, “Key Legal Issues in Advertising,” San Jose State University and California </w:t>
      </w:r>
      <w:r>
        <w:rPr>
          <w:color w:val="6E6158"/>
        </w:rPr>
        <w:t>State University East Bay, 2005-2020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  <w:spacing w:line="420" w:lineRule="auto"/>
        <w:ind w:right="3038"/>
      </w:pPr>
      <w:r>
        <w:rPr>
          <w:color w:val="6E6158"/>
        </w:rPr>
        <w:t>Member, California Lawyers Association, Real Property Law </w:t>
      </w:r>
      <w:r>
        <w:rPr>
          <w:color w:val="6E6158"/>
        </w:rPr>
        <w:t>Section Member, International Council of Shopping Centers (ICSC)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Member, National Real Estate Tenants Association (NRTA)</w:t>
      </w:r>
    </w:p>
    <w:p>
      <w:pPr>
        <w:pStyle w:val="BodyText"/>
        <w:spacing w:line="231" w:lineRule="exact"/>
      </w:pP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Section,</w:t>
      </w:r>
      <w:r>
        <w:rPr>
          <w:color w:val="6E6158"/>
          <w:spacing w:val="11"/>
        </w:rPr>
        <w:t> </w:t>
      </w:r>
      <w:r>
        <w:rPr>
          <w:color w:val="6E6158"/>
        </w:rPr>
        <w:t>Alameda</w:t>
      </w:r>
      <w:r>
        <w:rPr>
          <w:color w:val="6E6158"/>
          <w:spacing w:val="10"/>
        </w:rPr>
        <w:t> </w:t>
      </w:r>
      <w:r>
        <w:rPr>
          <w:color w:val="6E6158"/>
        </w:rPr>
        <w:t>County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82"/>
        <w:ind w:right="401"/>
      </w:pPr>
      <w:r>
        <w:rPr>
          <w:color w:val="6E6158"/>
        </w:rPr>
        <w:t>Former Member and Executive Committee member, ProVisors, Oakland 1, and Real Estate Affinity Group</w:t>
      </w:r>
    </w:p>
    <w:p>
      <w:pPr>
        <w:pStyle w:val="BodyText"/>
        <w:spacing w:line="292" w:lineRule="auto" w:before="123"/>
        <w:ind w:right="1111"/>
      </w:pPr>
      <w:r>
        <w:rPr>
          <w:color w:val="6E6158"/>
        </w:rPr>
        <w:t>Former Member, Executive Committee, Real Property Law Section, State Bar </w:t>
      </w:r>
      <w:r>
        <w:rPr>
          <w:color w:val="6E6158"/>
        </w:rPr>
        <w:t>of California, 2013-2016</w:t>
      </w:r>
    </w:p>
    <w:p>
      <w:pPr>
        <w:pStyle w:val="BodyText"/>
        <w:spacing w:before="132"/>
      </w:pP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Niles</w:t>
      </w:r>
      <w:r>
        <w:rPr>
          <w:color w:val="6E6158"/>
          <w:spacing w:val="13"/>
        </w:rPr>
        <w:t> </w:t>
      </w:r>
      <w:r>
        <w:rPr>
          <w:color w:val="6E6158"/>
        </w:rPr>
        <w:t>(Fremont)</w:t>
      </w:r>
      <w:r>
        <w:rPr>
          <w:color w:val="6E6158"/>
          <w:spacing w:val="13"/>
        </w:rPr>
        <w:t> </w:t>
      </w:r>
      <w:r>
        <w:rPr>
          <w:color w:val="6E6158"/>
        </w:rPr>
        <w:t>Rotary,</w:t>
      </w:r>
      <w:r>
        <w:rPr>
          <w:color w:val="6E6158"/>
          <w:spacing w:val="14"/>
        </w:rPr>
        <w:t> </w:t>
      </w:r>
      <w:r>
        <w:rPr>
          <w:color w:val="6E6158"/>
        </w:rPr>
        <w:t>2005-</w:t>
      </w:r>
      <w:r>
        <w:rPr>
          <w:color w:val="6E6158"/>
          <w:spacing w:val="-4"/>
        </w:rPr>
        <w:t>2013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ADMISSIONS</w:t>
      </w:r>
    </w:p>
    <w:p>
      <w:pPr>
        <w:pStyle w:val="BodyText"/>
        <w:spacing w:before="261"/>
      </w:pP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9"/>
      <w:ind w:left="99"/>
      <w:outlineLvl w:val="2"/>
    </w:pPr>
    <w:rPr>
      <w:rFonts w:ascii="Century Gothic" w:hAnsi="Century Gothic" w:eastAsia="Century Gothic" w:cs="Century Gothic"/>
      <w:b/>
      <w:bCs/>
      <w:sz w:val="23"/>
      <w:szCs w:val="23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99"/>
      <w:outlineLvl w:val="3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dmyers@fennemorelaw.com" TargetMode="External"/><Relationship Id="rId11" Type="http://schemas.openxmlformats.org/officeDocument/2006/relationships/hyperlink" Target="https://www.bizjournals.com/sanfrancisco/news/2025/08/08/bay-area-commercial-real-estate-transactional.html" TargetMode="External"/><Relationship Id="rId12" Type="http://schemas.openxmlformats.org/officeDocument/2006/relationships/hyperlink" Target="https://news.theregistrysf.com/twitter-vs-landlord-lawsuit-could-take-years-to-resolv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B. Myers - Fennemore</dc:title>
  <dcterms:created xsi:type="dcterms:W3CDTF">2026-06-12T10:07:48Z</dcterms:created>
  <dcterms:modified xsi:type="dcterms:W3CDTF">2026-06-12T10:07:48Z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