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2888615"/>
                <wp:effectExtent l="0" t="0" r="0" b="6985"/>
                <wp:docPr id="1" name="Group 1"/>
                <wp:cNvGraphicFramePr>
                  <a:graphicFrameLocks/>
                </wp:cNvGraphicFramePr>
                <a:graphic>
                  <a:graphicData uri="http://schemas.microsoft.com/office/word/2010/wordprocessingGroup">
                    <wpg:wgp>
                      <wpg:cNvPr id="1" name="Group 1"/>
                      <wpg:cNvGrpSpPr/>
                      <wpg:grpSpPr>
                        <a:xfrm>
                          <a:off x="0" y="0"/>
                          <a:ext cx="6071870" cy="2888615"/>
                          <a:chExt cx="6071870" cy="288861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David Laird 9991website"/>
                          <pic:cNvPicPr/>
                        </pic:nvPicPr>
                        <pic:blipFill>
                          <a:blip r:embed="rId7" cstate="print"/>
                          <a:stretch>
                            <a:fillRect/>
                          </a:stretch>
                        </pic:blipFill>
                        <pic:spPr>
                          <a:xfrm>
                            <a:off x="0" y="268700"/>
                            <a:ext cx="3038379" cy="2619827"/>
                          </a:xfrm>
                          <a:prstGeom prst="rect">
                            <a:avLst/>
                          </a:prstGeom>
                        </pic:spPr>
                      </pic:pic>
                      <wps:wsp>
                        <wps:cNvPr id="4" name="Graphic 4"/>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637775" y="1369338"/>
                            <a:ext cx="1829435" cy="320675"/>
                          </a:xfrm>
                          <a:custGeom>
                            <a:avLst/>
                            <a:gdLst/>
                            <a:ahLst/>
                            <a:cxnLst/>
                            <a:rect l="l" t="t" r="r" b="b"/>
                            <a:pathLst>
                              <a:path w="1829435" h="320675">
                                <a:moveTo>
                                  <a:pt x="1829231" y="315214"/>
                                </a:moveTo>
                                <a:lnTo>
                                  <a:pt x="0" y="315214"/>
                                </a:lnTo>
                                <a:lnTo>
                                  <a:pt x="0" y="320382"/>
                                </a:lnTo>
                                <a:lnTo>
                                  <a:pt x="1829231" y="320382"/>
                                </a:lnTo>
                                <a:lnTo>
                                  <a:pt x="1829231" y="315214"/>
                                </a:lnTo>
                                <a:close/>
                              </a:path>
                              <a:path w="1829435" h="320675">
                                <a:moveTo>
                                  <a:pt x="1829231" y="0"/>
                                </a:moveTo>
                                <a:lnTo>
                                  <a:pt x="0" y="0"/>
                                </a:lnTo>
                                <a:lnTo>
                                  <a:pt x="0" y="5168"/>
                                </a:lnTo>
                                <a:lnTo>
                                  <a:pt x="1829231" y="5168"/>
                                </a:lnTo>
                                <a:lnTo>
                                  <a:pt x="182923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2620010"/>
                          </a:xfrm>
                          <a:prstGeom prst="rect">
                            <a:avLst/>
                          </a:prstGeom>
                        </wps:spPr>
                        <wps:txbx>
                          <w:txbxContent>
                            <w:p>
                              <w:pPr>
                                <w:spacing w:line="240" w:lineRule="auto" w:before="331"/>
                                <w:rPr>
                                  <w:rFonts w:ascii="Times New Roman"/>
                                  <w:sz w:val="39"/>
                                </w:rPr>
                              </w:pPr>
                            </w:p>
                            <w:p>
                              <w:pPr>
                                <w:spacing w:before="0"/>
                                <w:ind w:left="0" w:right="2" w:firstLine="0"/>
                                <w:jc w:val="center"/>
                                <w:rPr>
                                  <w:sz w:val="39"/>
                                </w:rPr>
                              </w:pPr>
                              <w:r>
                                <w:rPr>
                                  <w:color w:val="FFFFFF"/>
                                  <w:sz w:val="39"/>
                                </w:rPr>
                                <w:t>DAVID</w:t>
                              </w:r>
                              <w:r>
                                <w:rPr>
                                  <w:color w:val="FFFFFF"/>
                                  <w:spacing w:val="-24"/>
                                  <w:sz w:val="39"/>
                                </w:rPr>
                                <w:t> </w:t>
                              </w:r>
                              <w:r>
                                <w:rPr>
                                  <w:color w:val="FFFFFF"/>
                                  <w:sz w:val="39"/>
                                </w:rPr>
                                <w:t>A.</w:t>
                              </w:r>
                              <w:r>
                                <w:rPr>
                                  <w:color w:val="FFFFFF"/>
                                  <w:spacing w:val="-24"/>
                                  <w:sz w:val="39"/>
                                </w:rPr>
                                <w:t> </w:t>
                              </w:r>
                              <w:r>
                                <w:rPr>
                                  <w:color w:val="FFFFFF"/>
                                  <w:spacing w:val="-2"/>
                                  <w:sz w:val="39"/>
                                </w:rPr>
                                <w:t>LAIRD</w:t>
                              </w:r>
                            </w:p>
                            <w:p>
                              <w:pPr>
                                <w:spacing w:before="39"/>
                                <w:ind w:left="0" w:right="2" w:firstLine="0"/>
                                <w:jc w:val="center"/>
                                <w:rPr>
                                  <w:sz w:val="24"/>
                                </w:rPr>
                              </w:pPr>
                              <w:r>
                                <w:rPr>
                                  <w:color w:val="FFFFFF"/>
                                  <w:spacing w:val="-2"/>
                                  <w:sz w:val="24"/>
                                </w:rPr>
                                <w:t>Director</w:t>
                              </w:r>
                            </w:p>
                            <w:p>
                              <w:pPr>
                                <w:spacing w:before="290"/>
                                <w:ind w:left="0" w:right="2"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Denver</w:t>
                                </w:r>
                              </w:hyperlink>
                            </w:p>
                            <w:p>
                              <w:pPr>
                                <w:tabs>
                                  <w:tab w:pos="1613" w:val="left" w:leader="none"/>
                                </w:tabs>
                                <w:spacing w:before="55"/>
                                <w:ind w:left="0" w:right="2" w:firstLine="0"/>
                                <w:jc w:val="center"/>
                                <w:rPr>
                                  <w:sz w:val="17"/>
                                </w:rPr>
                              </w:pPr>
                              <w:r>
                                <w:rPr>
                                  <w:color w:val="FFFFFF"/>
                                  <w:sz w:val="17"/>
                                </w:rPr>
                                <w:t>P: </w:t>
                              </w:r>
                              <w:r>
                                <w:rPr>
                                  <w:color w:val="FFFFFF"/>
                                  <w:spacing w:val="-2"/>
                                  <w:sz w:val="17"/>
                                </w:rPr>
                                <w:t>303.813.3836</w:t>
                              </w:r>
                              <w:r>
                                <w:rPr>
                                  <w:color w:val="FFFFFF"/>
                                  <w:sz w:val="17"/>
                                </w:rPr>
                                <w:tab/>
                                <w:t>F:</w:t>
                              </w:r>
                              <w:r>
                                <w:rPr>
                                  <w:color w:val="FFFFFF"/>
                                  <w:spacing w:val="-2"/>
                                  <w:sz w:val="17"/>
                                </w:rPr>
                                <w:t> 303.291.3201</w:t>
                              </w:r>
                            </w:p>
                            <w:p>
                              <w:pPr>
                                <w:spacing w:before="119"/>
                                <w:ind w:left="0" w:right="2" w:firstLine="0"/>
                                <w:jc w:val="center"/>
                                <w:rPr>
                                  <w:sz w:val="16"/>
                                </w:rPr>
                              </w:pPr>
                              <w:hyperlink r:id="rId10">
                                <w:r>
                                  <w:rPr>
                                    <w:color w:val="FFFFFF"/>
                                    <w:spacing w:val="-2"/>
                                    <w:sz w:val="16"/>
                                  </w:rPr>
                                  <w:t>dlaird@fennemorelaw.com</w:t>
                                </w:r>
                              </w:hyperlink>
                            </w:p>
                          </w:txbxContent>
                        </wps:txbx>
                        <wps:bodyPr wrap="square" lIns="0" tIns="0" rIns="0" bIns="0" rtlCol="0">
                          <a:noAutofit/>
                        </wps:bodyPr>
                      </wps:wsp>
                    </wpg:wgp>
                  </a:graphicData>
                </a:graphic>
              </wp:inline>
            </w:drawing>
          </mc:Choice>
          <mc:Fallback>
            <w:pict>
              <v:group style="width:478.1pt;height:227.45pt;mso-position-horizontal-relative:char;mso-position-vertical-relative:line" id="docshapegroup1" coordorigin="0,0" coordsize="9562,4549">
                <v:shape style="position:absolute;left:0;top:0;width:2165;height:424" type="#_x0000_t75" id="docshape2" alt="Fennemore" href="https://www.fennemorelaw.com/" stroked="false">
                  <v:imagedata r:id="rId5" o:title=""/>
                </v:shape>
                <v:shape style="position:absolute;left:0;top:423;width:4785;height:4126" type="#_x0000_t75" id="docshape3" alt="David Laird 9991website" stroked="false">
                  <v:imagedata r:id="rId7" o:title=""/>
                </v:shape>
                <v:rect style="position:absolute;left:4784;top:423;width:4777;height:4126" id="docshape4" filled="true" fillcolor="#262424" stroked="false">
                  <v:fill type="solid"/>
                </v:rect>
                <v:shape style="position:absolute;left:5728;top:2156;width:2881;height:505" id="docshape5" coordorigin="5729,2156" coordsize="2881,505" path="m8609,2653l5729,2653,5729,2661,8609,2661,8609,2653xm8609,2156l5729,2156,5729,2165,8609,2165,8609,2156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126" type="#_x0000_t202" id="docshape6" filled="false" stroked="false">
                  <v:textbox inset="0,0,0,0">
                    <w:txbxContent>
                      <w:p>
                        <w:pPr>
                          <w:spacing w:line="240" w:lineRule="auto" w:before="331"/>
                          <w:rPr>
                            <w:rFonts w:ascii="Times New Roman"/>
                            <w:sz w:val="39"/>
                          </w:rPr>
                        </w:pPr>
                      </w:p>
                      <w:p>
                        <w:pPr>
                          <w:spacing w:before="0"/>
                          <w:ind w:left="0" w:right="2" w:firstLine="0"/>
                          <w:jc w:val="center"/>
                          <w:rPr>
                            <w:sz w:val="39"/>
                          </w:rPr>
                        </w:pPr>
                        <w:r>
                          <w:rPr>
                            <w:color w:val="FFFFFF"/>
                            <w:sz w:val="39"/>
                          </w:rPr>
                          <w:t>DAVID</w:t>
                        </w:r>
                        <w:r>
                          <w:rPr>
                            <w:color w:val="FFFFFF"/>
                            <w:spacing w:val="-24"/>
                            <w:sz w:val="39"/>
                          </w:rPr>
                          <w:t> </w:t>
                        </w:r>
                        <w:r>
                          <w:rPr>
                            <w:color w:val="FFFFFF"/>
                            <w:sz w:val="39"/>
                          </w:rPr>
                          <w:t>A.</w:t>
                        </w:r>
                        <w:r>
                          <w:rPr>
                            <w:color w:val="FFFFFF"/>
                            <w:spacing w:val="-24"/>
                            <w:sz w:val="39"/>
                          </w:rPr>
                          <w:t> </w:t>
                        </w:r>
                        <w:r>
                          <w:rPr>
                            <w:color w:val="FFFFFF"/>
                            <w:spacing w:val="-2"/>
                            <w:sz w:val="39"/>
                          </w:rPr>
                          <w:t>LAIRD</w:t>
                        </w:r>
                      </w:p>
                      <w:p>
                        <w:pPr>
                          <w:spacing w:before="39"/>
                          <w:ind w:left="0" w:right="2" w:firstLine="0"/>
                          <w:jc w:val="center"/>
                          <w:rPr>
                            <w:sz w:val="24"/>
                          </w:rPr>
                        </w:pPr>
                        <w:r>
                          <w:rPr>
                            <w:color w:val="FFFFFF"/>
                            <w:spacing w:val="-2"/>
                            <w:sz w:val="24"/>
                          </w:rPr>
                          <w:t>Director</w:t>
                        </w:r>
                      </w:p>
                      <w:p>
                        <w:pPr>
                          <w:spacing w:before="290"/>
                          <w:ind w:left="0" w:right="2"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Denver</w:t>
                          </w:r>
                        </w:hyperlink>
                      </w:p>
                      <w:p>
                        <w:pPr>
                          <w:tabs>
                            <w:tab w:pos="1613" w:val="left" w:leader="none"/>
                          </w:tabs>
                          <w:spacing w:before="55"/>
                          <w:ind w:left="0" w:right="2" w:firstLine="0"/>
                          <w:jc w:val="center"/>
                          <w:rPr>
                            <w:sz w:val="17"/>
                          </w:rPr>
                        </w:pPr>
                        <w:r>
                          <w:rPr>
                            <w:color w:val="FFFFFF"/>
                            <w:sz w:val="17"/>
                          </w:rPr>
                          <w:t>P: </w:t>
                        </w:r>
                        <w:r>
                          <w:rPr>
                            <w:color w:val="FFFFFF"/>
                            <w:spacing w:val="-2"/>
                            <w:sz w:val="17"/>
                          </w:rPr>
                          <w:t>303.813.3836</w:t>
                        </w:r>
                        <w:r>
                          <w:rPr>
                            <w:color w:val="FFFFFF"/>
                            <w:sz w:val="17"/>
                          </w:rPr>
                          <w:tab/>
                          <w:t>F:</w:t>
                        </w:r>
                        <w:r>
                          <w:rPr>
                            <w:color w:val="FFFFFF"/>
                            <w:spacing w:val="-2"/>
                            <w:sz w:val="17"/>
                          </w:rPr>
                          <w:t> 303.291.3201</w:t>
                        </w:r>
                      </w:p>
                      <w:p>
                        <w:pPr>
                          <w:spacing w:before="119"/>
                          <w:ind w:left="0" w:right="2" w:firstLine="0"/>
                          <w:jc w:val="center"/>
                          <w:rPr>
                            <w:sz w:val="16"/>
                          </w:rPr>
                        </w:pPr>
                        <w:hyperlink r:id="rId10">
                          <w:r>
                            <w:rPr>
                              <w:color w:val="FFFFFF"/>
                              <w:spacing w:val="-2"/>
                              <w:sz w:val="16"/>
                            </w:rPr>
                            <w:t>dlaird@fennemorelaw.com</w:t>
                          </w:r>
                        </w:hyperlink>
                      </w:p>
                    </w:txbxContent>
                  </v:textbox>
                  <w10:wrap type="none"/>
                </v:shape>
              </v:group>
            </w:pict>
          </mc:Fallback>
        </mc:AlternateContent>
      </w:r>
      <w:r>
        <w:rPr>
          <w:rFonts w:ascii="Times New Roman"/>
          <w:sz w:val="20"/>
        </w:rPr>
      </w:r>
    </w:p>
    <w:p>
      <w:pPr>
        <w:pStyle w:val="Heading1"/>
        <w:spacing w:before="67"/>
      </w:pPr>
      <w:r>
        <w:rPr>
          <w:color w:val="FF8100"/>
        </w:rPr>
        <w:t>DAVID</w:t>
      </w:r>
      <w:r>
        <w:rPr>
          <w:color w:val="FF8100"/>
          <w:spacing w:val="5"/>
        </w:rPr>
        <w:t> </w:t>
      </w:r>
      <w:r>
        <w:rPr>
          <w:color w:val="FF8100"/>
        </w:rPr>
        <w:t>A.</w:t>
      </w:r>
      <w:r>
        <w:rPr>
          <w:color w:val="FF8100"/>
          <w:spacing w:val="6"/>
        </w:rPr>
        <w:t> </w:t>
      </w:r>
      <w:r>
        <w:rPr>
          <w:color w:val="FF8100"/>
          <w:spacing w:val="-2"/>
        </w:rPr>
        <w:t>LAIRD</w:t>
      </w:r>
    </w:p>
    <w:p>
      <w:pPr>
        <w:pStyle w:val="BodyText"/>
        <w:spacing w:line="297" w:lineRule="auto" w:before="147"/>
        <w:ind w:right="645"/>
        <w:jc w:val="both"/>
      </w:pPr>
      <w:r>
        <w:rPr>
          <w:color w:val="6E6158"/>
        </w:rPr>
        <w:t>With over 25 years of trial experience in state and federal courts, David is driven to find just and efficient results for his clients. David has found that many disputes can be resolved quickly if the issues</w:t>
      </w:r>
      <w:r>
        <w:rPr>
          <w:color w:val="6E6158"/>
          <w:spacing w:val="25"/>
        </w:rPr>
        <w:t> </w:t>
      </w:r>
      <w:r>
        <w:rPr>
          <w:color w:val="6E6158"/>
        </w:rPr>
        <w:t>at</w:t>
      </w:r>
      <w:r>
        <w:rPr>
          <w:color w:val="6E6158"/>
          <w:spacing w:val="25"/>
        </w:rPr>
        <w:t> </w:t>
      </w:r>
      <w:r>
        <w:rPr>
          <w:color w:val="6E6158"/>
        </w:rPr>
        <w:t>the</w:t>
      </w:r>
      <w:r>
        <w:rPr>
          <w:color w:val="6E6158"/>
          <w:spacing w:val="25"/>
        </w:rPr>
        <w:t> </w:t>
      </w:r>
      <w:r>
        <w:rPr>
          <w:color w:val="6E6158"/>
        </w:rPr>
        <w:t>heart</w:t>
      </w:r>
      <w:r>
        <w:rPr>
          <w:color w:val="6E6158"/>
          <w:spacing w:val="25"/>
        </w:rPr>
        <w:t> </w:t>
      </w:r>
      <w:r>
        <w:rPr>
          <w:color w:val="6E6158"/>
        </w:rPr>
        <w:t>of</w:t>
      </w:r>
      <w:r>
        <w:rPr>
          <w:color w:val="6E6158"/>
          <w:spacing w:val="25"/>
        </w:rPr>
        <w:t> </w:t>
      </w:r>
      <w:r>
        <w:rPr>
          <w:color w:val="6E6158"/>
        </w:rPr>
        <w:t>the</w:t>
      </w:r>
      <w:r>
        <w:rPr>
          <w:color w:val="6E6158"/>
          <w:spacing w:val="25"/>
        </w:rPr>
        <w:t> </w:t>
      </w:r>
      <w:r>
        <w:rPr>
          <w:color w:val="6E6158"/>
        </w:rPr>
        <w:t>matter</w:t>
      </w:r>
      <w:r>
        <w:rPr>
          <w:color w:val="6E6158"/>
          <w:spacing w:val="25"/>
        </w:rPr>
        <w:t> </w:t>
      </w:r>
      <w:r>
        <w:rPr>
          <w:color w:val="6E6158"/>
        </w:rPr>
        <w:t>are</w:t>
      </w:r>
      <w:r>
        <w:rPr>
          <w:color w:val="6E6158"/>
          <w:spacing w:val="25"/>
        </w:rPr>
        <w:t> </w:t>
      </w:r>
      <w:r>
        <w:rPr>
          <w:color w:val="6E6158"/>
        </w:rPr>
        <w:t>quickly</w:t>
      </w:r>
      <w:r>
        <w:rPr>
          <w:color w:val="6E6158"/>
          <w:spacing w:val="25"/>
        </w:rPr>
        <w:t> </w:t>
      </w:r>
      <w:r>
        <w:rPr>
          <w:color w:val="6E6158"/>
        </w:rPr>
        <w:t>identified</w:t>
      </w:r>
      <w:r>
        <w:rPr>
          <w:color w:val="6E6158"/>
          <w:spacing w:val="25"/>
        </w:rPr>
        <w:t> </w:t>
      </w:r>
      <w:r>
        <w:rPr>
          <w:color w:val="6E6158"/>
        </w:rPr>
        <w:t>and</w:t>
      </w:r>
      <w:r>
        <w:rPr>
          <w:color w:val="6E6158"/>
          <w:spacing w:val="25"/>
        </w:rPr>
        <w:t> </w:t>
      </w:r>
      <w:r>
        <w:rPr>
          <w:color w:val="6E6158"/>
        </w:rPr>
        <w:t>addressed.</w:t>
      </w:r>
      <w:r>
        <w:rPr>
          <w:color w:val="6E6158"/>
          <w:spacing w:val="25"/>
        </w:rPr>
        <w:t> </w:t>
      </w:r>
      <w:r>
        <w:rPr>
          <w:color w:val="6E6158"/>
        </w:rPr>
        <w:t>For</w:t>
      </w:r>
      <w:r>
        <w:rPr>
          <w:color w:val="6E6158"/>
          <w:spacing w:val="25"/>
        </w:rPr>
        <w:t> </w:t>
      </w:r>
      <w:r>
        <w:rPr>
          <w:color w:val="6E6158"/>
        </w:rPr>
        <w:t>those</w:t>
      </w:r>
      <w:r>
        <w:rPr>
          <w:color w:val="6E6158"/>
          <w:spacing w:val="25"/>
        </w:rPr>
        <w:t> </w:t>
      </w:r>
      <w:r>
        <w:rPr>
          <w:color w:val="6E6158"/>
        </w:rPr>
        <w:t>cases</w:t>
      </w:r>
      <w:r>
        <w:rPr>
          <w:color w:val="6E6158"/>
          <w:spacing w:val="25"/>
        </w:rPr>
        <w:t> </w:t>
      </w:r>
      <w:r>
        <w:rPr>
          <w:color w:val="6E6158"/>
        </w:rPr>
        <w:t>that</w:t>
      </w:r>
    </w:p>
    <w:p>
      <w:pPr>
        <w:pStyle w:val="BodyText"/>
        <w:spacing w:line="302" w:lineRule="auto"/>
        <w:ind w:right="1184"/>
        <w:jc w:val="both"/>
      </w:pPr>
      <w:r>
        <w:rPr>
          <w:color w:val="6E6158"/>
        </w:rPr>
        <w:t>cannot be resolved quickly, David has the knowledge, experience, and determination </w:t>
      </w:r>
      <w:r>
        <w:rPr>
          <w:color w:val="6E6158"/>
        </w:rPr>
        <w:t>to aggressively litigate disputes to a conclusion.</w:t>
      </w:r>
    </w:p>
    <w:p>
      <w:pPr>
        <w:pStyle w:val="BodyText"/>
        <w:spacing w:line="295" w:lineRule="auto" w:before="182"/>
        <w:ind w:right="748"/>
      </w:pPr>
      <w:r>
        <w:rPr>
          <w:color w:val="6E6158"/>
        </w:rPr>
        <w:t>Much of David’s practice focuses on resolving lending and real estate disputes. Also, David</w:t>
      </w:r>
      <w:r>
        <w:rPr>
          <w:color w:val="6E6158"/>
          <w:spacing w:val="40"/>
        </w:rPr>
        <w:t> </w:t>
      </w:r>
      <w:r>
        <w:rPr>
          <w:color w:val="6E6158"/>
        </w:rPr>
        <w:t>litigates a wide variety of complex contract and commercial disputes, business torts, uniform</w:t>
      </w:r>
      <w:r>
        <w:rPr>
          <w:color w:val="6E6158"/>
          <w:spacing w:val="40"/>
        </w:rPr>
        <w:t> </w:t>
      </w:r>
      <w:r>
        <w:rPr>
          <w:color w:val="6E6158"/>
        </w:rPr>
        <w:t>commercial code disputes, insurance coverage disputes, fiduciary claims, oil and gas </w:t>
      </w:r>
      <w:r>
        <w:rPr>
          <w:color w:val="6E6158"/>
        </w:rPr>
        <w:t>matters,</w:t>
      </w:r>
      <w:r>
        <w:rPr>
          <w:color w:val="6E6158"/>
          <w:spacing w:val="40"/>
        </w:rPr>
        <w:t> </w:t>
      </w:r>
      <w:r>
        <w:rPr>
          <w:color w:val="6E6158"/>
        </w:rPr>
        <w:t>and landlord/tenant issues, and commercial foreclosures. He also represents creditors in bankruptcy cases and clients involved in securities litigation.</w:t>
      </w:r>
    </w:p>
    <w:p>
      <w:pPr>
        <w:pStyle w:val="BodyText"/>
        <w:spacing w:line="297" w:lineRule="auto" w:before="195"/>
        <w:ind w:right="748"/>
      </w:pPr>
      <w:r>
        <w:rPr>
          <w:color w:val="6E6158"/>
        </w:rPr>
        <w:t>With an eye toward efficient and positive solutions, David advocates for clients in court,</w:t>
      </w:r>
      <w:r>
        <w:rPr>
          <w:color w:val="6E6158"/>
          <w:spacing w:val="40"/>
        </w:rPr>
        <w:t> </w:t>
      </w:r>
      <w:r>
        <w:rPr>
          <w:color w:val="6E6158"/>
        </w:rPr>
        <w:t>administrative proceedings, on appeal, and via alternative methods of dispute resolution </w:t>
      </w:r>
      <w:r>
        <w:rPr>
          <w:color w:val="6E6158"/>
        </w:rPr>
        <w:t>such</w:t>
      </w:r>
      <w:r>
        <w:rPr>
          <w:color w:val="6E6158"/>
          <w:spacing w:val="40"/>
        </w:rPr>
        <w:t> </w:t>
      </w:r>
      <w:r>
        <w:rPr>
          <w:color w:val="6E6158"/>
        </w:rPr>
        <w:t>as mediation and arbitration.</w:t>
      </w:r>
    </w:p>
    <w:p>
      <w:pPr>
        <w:pStyle w:val="BodyText"/>
        <w:spacing w:before="191"/>
      </w:pPr>
      <w:r>
        <w:rPr>
          <w:color w:val="6E6158"/>
        </w:rPr>
        <w:t>David</w:t>
      </w:r>
      <w:r>
        <w:rPr>
          <w:color w:val="6E6158"/>
          <w:spacing w:val="11"/>
        </w:rPr>
        <w:t> </w:t>
      </w:r>
      <w:r>
        <w:rPr>
          <w:color w:val="6E6158"/>
        </w:rPr>
        <w:t>prides</w:t>
      </w:r>
      <w:r>
        <w:rPr>
          <w:color w:val="6E6158"/>
          <w:spacing w:val="12"/>
        </w:rPr>
        <w:t> </w:t>
      </w:r>
      <w:r>
        <w:rPr>
          <w:color w:val="6E6158"/>
        </w:rPr>
        <w:t>himself</w:t>
      </w:r>
      <w:r>
        <w:rPr>
          <w:color w:val="6E6158"/>
          <w:spacing w:val="12"/>
        </w:rPr>
        <w:t> </w:t>
      </w:r>
      <w:r>
        <w:rPr>
          <w:color w:val="6E6158"/>
        </w:rPr>
        <w:t>on</w:t>
      </w:r>
      <w:r>
        <w:rPr>
          <w:color w:val="6E6158"/>
          <w:spacing w:val="11"/>
        </w:rPr>
        <w:t> </w:t>
      </w:r>
      <w:r>
        <w:rPr>
          <w:color w:val="6E6158"/>
        </w:rPr>
        <w:t>being</w:t>
      </w:r>
      <w:r>
        <w:rPr>
          <w:color w:val="6E6158"/>
          <w:spacing w:val="12"/>
        </w:rPr>
        <w:t> </w:t>
      </w:r>
      <w:r>
        <w:rPr>
          <w:color w:val="6E6158"/>
        </w:rPr>
        <w:t>responsive</w:t>
      </w:r>
      <w:r>
        <w:rPr>
          <w:color w:val="6E6158"/>
          <w:spacing w:val="12"/>
        </w:rPr>
        <w:t> </w:t>
      </w:r>
      <w:r>
        <w:rPr>
          <w:color w:val="6E6158"/>
        </w:rPr>
        <w:t>and</w:t>
      </w:r>
      <w:r>
        <w:rPr>
          <w:color w:val="6E6158"/>
          <w:spacing w:val="11"/>
        </w:rPr>
        <w:t> </w:t>
      </w:r>
      <w:r>
        <w:rPr>
          <w:color w:val="6E6158"/>
        </w:rPr>
        <w:t>proactive.</w:t>
      </w:r>
      <w:r>
        <w:rPr>
          <w:color w:val="6E6158"/>
          <w:spacing w:val="12"/>
        </w:rPr>
        <w:t> </w:t>
      </w:r>
      <w:r>
        <w:rPr>
          <w:color w:val="6E6158"/>
        </w:rPr>
        <w:t>His</w:t>
      </w:r>
      <w:r>
        <w:rPr>
          <w:color w:val="6E6158"/>
          <w:spacing w:val="12"/>
        </w:rPr>
        <w:t> </w:t>
      </w:r>
      <w:r>
        <w:rPr>
          <w:color w:val="6E6158"/>
        </w:rPr>
        <w:t>clients</w:t>
      </w:r>
      <w:r>
        <w:rPr>
          <w:color w:val="6E6158"/>
          <w:spacing w:val="11"/>
        </w:rPr>
        <w:t> </w:t>
      </w:r>
      <w:r>
        <w:rPr>
          <w:color w:val="6E6158"/>
        </w:rPr>
        <w:t>always</w:t>
      </w:r>
      <w:r>
        <w:rPr>
          <w:color w:val="6E6158"/>
          <w:spacing w:val="12"/>
        </w:rPr>
        <w:t> </w:t>
      </w:r>
      <w:r>
        <w:rPr>
          <w:color w:val="6E6158"/>
        </w:rPr>
        <w:t>know</w:t>
      </w:r>
      <w:r>
        <w:rPr>
          <w:color w:val="6E6158"/>
          <w:spacing w:val="12"/>
        </w:rPr>
        <w:t> </w:t>
      </w:r>
      <w:r>
        <w:rPr>
          <w:color w:val="6E6158"/>
        </w:rPr>
        <w:t>the</w:t>
      </w:r>
      <w:r>
        <w:rPr>
          <w:color w:val="6E6158"/>
          <w:spacing w:val="11"/>
        </w:rPr>
        <w:t> </w:t>
      </w:r>
      <w:r>
        <w:rPr>
          <w:color w:val="6E6158"/>
          <w:spacing w:val="-2"/>
        </w:rPr>
        <w:t>“game</w:t>
      </w:r>
    </w:p>
    <w:p>
      <w:pPr>
        <w:pStyle w:val="BodyText"/>
        <w:spacing w:line="292" w:lineRule="auto" w:before="52"/>
        <w:ind w:right="455"/>
      </w:pPr>
      <w:r>
        <w:rPr>
          <w:color w:val="6E6158"/>
        </w:rPr>
        <w:t>plan” and are kept apprised throughout the case. David understands that communication is </w:t>
      </w:r>
      <w:r>
        <w:rPr>
          <w:color w:val="6E6158"/>
        </w:rPr>
        <w:t>the</w:t>
      </w:r>
      <w:r>
        <w:rPr>
          <w:color w:val="6E6158"/>
          <w:spacing w:val="40"/>
        </w:rPr>
        <w:t> </w:t>
      </w:r>
      <w:r>
        <w:rPr>
          <w:color w:val="6E6158"/>
        </w:rPr>
        <w:t>key to a successful attorney-client relationship.</w:t>
      </w:r>
    </w:p>
    <w:p>
      <w:pPr>
        <w:pStyle w:val="Heading1"/>
        <w:spacing w:before="170"/>
      </w:pPr>
      <w:r>
        <w:rPr>
          <w:color w:val="FF8100"/>
          <w:spacing w:val="-2"/>
        </w:rPr>
        <w:t>EDUCATION</w:t>
      </w:r>
    </w:p>
    <w:p>
      <w:pPr>
        <w:pStyle w:val="BodyText"/>
        <w:spacing w:before="28"/>
        <w:ind w:left="0"/>
        <w:rPr>
          <w:b/>
        </w:rPr>
      </w:pPr>
    </w:p>
    <w:p>
      <w:pPr>
        <w:pStyle w:val="BodyText"/>
      </w:pPr>
      <w:r>
        <w:rPr>
          <w:color w:val="6E6158"/>
        </w:rPr>
        <w:t>J.D.,</w:t>
      </w:r>
      <w:r>
        <w:rPr>
          <w:color w:val="6E6158"/>
          <w:spacing w:val="10"/>
        </w:rPr>
        <w:t> </w:t>
      </w:r>
      <w:r>
        <w:rPr>
          <w:color w:val="6E6158"/>
        </w:rPr>
        <w:t>University</w:t>
      </w:r>
      <w:r>
        <w:rPr>
          <w:color w:val="6E6158"/>
          <w:spacing w:val="10"/>
        </w:rPr>
        <w:t> </w:t>
      </w:r>
      <w:r>
        <w:rPr>
          <w:color w:val="6E6158"/>
        </w:rPr>
        <w:t>of</w:t>
      </w:r>
      <w:r>
        <w:rPr>
          <w:color w:val="6E6158"/>
          <w:spacing w:val="11"/>
        </w:rPr>
        <w:t> </w:t>
      </w:r>
      <w:r>
        <w:rPr>
          <w:color w:val="6E6158"/>
          <w:spacing w:val="-2"/>
        </w:rPr>
        <w:t>Denver</w:t>
      </w:r>
    </w:p>
    <w:p>
      <w:pPr>
        <w:pStyle w:val="BodyText"/>
        <w:spacing w:before="174"/>
      </w:pPr>
      <w:r>
        <w:rPr>
          <w:color w:val="6E6158"/>
        </w:rPr>
        <w:t>B.A.,</w:t>
      </w:r>
      <w:r>
        <w:rPr>
          <w:color w:val="6E6158"/>
          <w:spacing w:val="8"/>
        </w:rPr>
        <w:t> </w:t>
      </w:r>
      <w:r>
        <w:rPr>
          <w:color w:val="6E6158"/>
        </w:rPr>
        <w:t>University</w:t>
      </w:r>
      <w:r>
        <w:rPr>
          <w:color w:val="6E6158"/>
          <w:spacing w:val="8"/>
        </w:rPr>
        <w:t> </w:t>
      </w:r>
      <w:r>
        <w:rPr>
          <w:color w:val="6E6158"/>
        </w:rPr>
        <w:t>of</w:t>
      </w:r>
      <w:r>
        <w:rPr>
          <w:color w:val="6E6158"/>
          <w:spacing w:val="8"/>
        </w:rPr>
        <w:t> </w:t>
      </w:r>
      <w:r>
        <w:rPr>
          <w:color w:val="6E6158"/>
        </w:rPr>
        <w:t>Denver,</w:t>
      </w:r>
      <w:r>
        <w:rPr>
          <w:color w:val="6E6158"/>
          <w:spacing w:val="8"/>
        </w:rPr>
        <w:t> </w:t>
      </w:r>
      <w:r>
        <w:rPr>
          <w:color w:val="6E6158"/>
        </w:rPr>
        <w:t>Honors</w:t>
      </w:r>
      <w:r>
        <w:rPr>
          <w:color w:val="6E6158"/>
          <w:spacing w:val="8"/>
        </w:rPr>
        <w:t> </w:t>
      </w:r>
      <w:r>
        <w:rPr>
          <w:color w:val="6E6158"/>
        </w:rPr>
        <w:t>with</w:t>
      </w:r>
      <w:r>
        <w:rPr>
          <w:color w:val="6E6158"/>
          <w:spacing w:val="8"/>
        </w:rPr>
        <w:t> </w:t>
      </w:r>
      <w:r>
        <w:rPr>
          <w:color w:val="6E6158"/>
          <w:spacing w:val="-2"/>
        </w:rPr>
        <w:t>distinction</w:t>
      </w:r>
    </w:p>
    <w:p>
      <w:pPr>
        <w:pStyle w:val="BodyText"/>
        <w:spacing w:before="163"/>
        <w:ind w:left="0"/>
        <w:rPr>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27"/>
        <w:ind w:left="0"/>
        <w:rPr>
          <w:b/>
        </w:rPr>
      </w:pPr>
    </w:p>
    <w:p>
      <w:pPr>
        <w:pStyle w:val="BodyText"/>
        <w:spacing w:line="427" w:lineRule="auto"/>
        <w:ind w:right="7298"/>
      </w:pPr>
      <w:r>
        <w:rPr>
          <w:color w:val="6E6158"/>
        </w:rPr>
        <w:t>Business </w:t>
      </w:r>
      <w:r>
        <w:rPr>
          <w:color w:val="6E6158"/>
        </w:rPr>
        <w:t>Litigation Eminent Domain</w:t>
      </w:r>
    </w:p>
    <w:p>
      <w:pPr>
        <w:pStyle w:val="Heading1"/>
        <w:spacing w:before="276"/>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Heading1"/>
        <w:spacing w:after="0"/>
        <w:sectPr>
          <w:type w:val="continuous"/>
          <w:pgSz w:w="12240" w:h="15840"/>
          <w:pgMar w:top="560" w:bottom="280" w:left="1440" w:right="1080"/>
        </w:sectPr>
      </w:pPr>
    </w:p>
    <w:p>
      <w:pPr>
        <w:pStyle w:val="BodyText"/>
        <w:spacing w:line="292" w:lineRule="auto" w:before="83"/>
        <w:ind w:right="748"/>
      </w:pPr>
      <w:hyperlink r:id="rId11">
        <w:r>
          <w:rPr>
            <w:color w:val="F5821F"/>
          </w:rPr>
          <w:t>Benchmark Litigation: Local Litigation Star – General Commercial Litigation and </w:t>
        </w:r>
        <w:r>
          <w:rPr>
            <w:color w:val="F5821F"/>
          </w:rPr>
          <w:t>Bankruptcy</w:t>
        </w:r>
      </w:hyperlink>
      <w:r>
        <w:rPr>
          <w:color w:val="F5821F"/>
          <w:spacing w:val="40"/>
        </w:rPr>
        <w:t> </w:t>
      </w:r>
      <w:hyperlink r:id="rId11">
        <w:r>
          <w:rPr>
            <w:color w:val="F5821F"/>
          </w:rPr>
          <w:t>Litigation, 2022 – 2025</w:t>
        </w:r>
      </w:hyperlink>
    </w:p>
    <w:p>
      <w:pPr>
        <w:pStyle w:val="BodyText"/>
        <w:spacing w:line="408" w:lineRule="auto" w:before="124"/>
        <w:ind w:right="748"/>
      </w:pPr>
      <w:hyperlink r:id="rId12">
        <w:r>
          <w:rPr>
            <w:i/>
            <w:color w:val="F5821F"/>
            <w:sz w:val="20"/>
          </w:rPr>
          <w:t>Best Lawyers in America</w:t>
        </w:r>
        <w:r>
          <w:rPr>
            <w:i/>
            <w:color w:val="F5821F"/>
            <w:position w:val="7"/>
            <w:sz w:val="16"/>
          </w:rPr>
          <w:t>®</w:t>
        </w:r>
        <w:r>
          <w:rPr>
            <w:i/>
            <w:color w:val="F5821F"/>
            <w:sz w:val="20"/>
          </w:rPr>
          <w:t>,</w:t>
        </w:r>
      </w:hyperlink>
      <w:r>
        <w:rPr>
          <w:i/>
          <w:color w:val="F5821F"/>
          <w:sz w:val="20"/>
        </w:rPr>
        <w:t> </w:t>
      </w:r>
      <w:hyperlink r:id="rId12">
        <w:r>
          <w:rPr>
            <w:color w:val="F5821F"/>
          </w:rPr>
          <w:t>Commercial Litigation and Litigation – Real Estate, 2023 – 2026</w:t>
        </w:r>
      </w:hyperlink>
      <w:r>
        <w:rPr>
          <w:color w:val="F5821F"/>
        </w:rPr>
        <w:t> </w:t>
      </w:r>
      <w:hyperlink r:id="rId13">
        <w:r>
          <w:rPr>
            <w:color w:val="F5821F"/>
          </w:rPr>
          <w:t>Colorado Super Lawyers®, Business Litigation, 2017 – 2026</w:t>
        </w:r>
      </w:hyperlink>
    </w:p>
    <w:p>
      <w:pPr>
        <w:pStyle w:val="BodyText"/>
        <w:spacing w:line="420" w:lineRule="auto" w:before="11"/>
        <w:ind w:right="3850"/>
      </w:pPr>
      <w:hyperlink r:id="rId13">
        <w:r>
          <w:rPr>
            <w:color w:val="F5821F"/>
          </w:rPr>
          <w:t>Colorado Super Lawyers®, Rising Star, Business Litigation, </w:t>
        </w:r>
        <w:r>
          <w:rPr>
            <w:color w:val="F5821F"/>
          </w:rPr>
          <w:t>2013</w:t>
        </w:r>
      </w:hyperlink>
      <w:r>
        <w:rPr>
          <w:color w:val="F5821F"/>
        </w:rPr>
        <w:t> </w:t>
      </w:r>
      <w:hyperlink r:id="rId14">
        <w:r>
          <w:rPr>
            <w:color w:val="F5821F"/>
          </w:rPr>
          <w:t>Martindale-Hubbell Rating: AV® Preeminent™ (highest)</w:t>
        </w:r>
      </w:hyperlink>
    </w:p>
    <w:p>
      <w:pPr>
        <w:pStyle w:val="Heading1"/>
        <w:spacing w:before="290"/>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18"/>
        <w:ind w:left="0"/>
        <w:rPr>
          <w:b/>
        </w:rPr>
      </w:pPr>
    </w:p>
    <w:p>
      <w:pPr>
        <w:pStyle w:val="BodyText"/>
        <w:spacing w:line="288" w:lineRule="auto"/>
        <w:ind w:right="748"/>
      </w:pPr>
      <w:r>
        <w:rPr>
          <w:color w:val="6E6158"/>
        </w:rPr>
        <w:t>Author, “COVID-19 Fallout: Colorado Court Upholds Allocation of Risk in Lease,” </w:t>
      </w:r>
      <w:r>
        <w:rPr>
          <w:i/>
          <w:color w:val="6E6158"/>
          <w:sz w:val="20"/>
        </w:rPr>
        <w:t>Firm Blog</w:t>
      </w:r>
      <w:r>
        <w:rPr>
          <w:color w:val="6E6158"/>
        </w:rPr>
        <w:t>, February 2023</w:t>
      </w:r>
    </w:p>
    <w:p>
      <w:pPr>
        <w:pStyle w:val="BodyText"/>
        <w:spacing w:line="278" w:lineRule="auto" w:before="118"/>
        <w:ind w:right="392"/>
      </w:pPr>
      <w:r>
        <w:rPr>
          <w:color w:val="6E6158"/>
        </w:rPr>
        <w:t>Author, “Commercial Evictions in 2021 – Will There Be Calm After the COVID-19 Storm?,” </w:t>
      </w:r>
      <w:r>
        <w:rPr>
          <w:i/>
          <w:color w:val="6E6158"/>
          <w:sz w:val="20"/>
        </w:rPr>
        <w:t>Mile High</w:t>
      </w:r>
      <w:r>
        <w:rPr>
          <w:i/>
          <w:color w:val="6E6158"/>
          <w:sz w:val="20"/>
        </w:rPr>
        <w:t> CRE</w:t>
      </w:r>
      <w:r>
        <w:rPr>
          <w:color w:val="6E6158"/>
        </w:rPr>
        <w:t>, March 2021</w:t>
      </w:r>
    </w:p>
    <w:p>
      <w:pPr>
        <w:pStyle w:val="BodyText"/>
        <w:spacing w:line="408" w:lineRule="auto" w:before="131"/>
        <w:ind w:right="961"/>
      </w:pPr>
      <w:r>
        <w:rPr>
          <w:color w:val="6E6158"/>
        </w:rPr>
        <w:t>Author, “The Trouble with Forbearance Fees,” </w:t>
      </w:r>
      <w:r>
        <w:rPr>
          <w:i/>
          <w:color w:val="6E6158"/>
          <w:sz w:val="20"/>
        </w:rPr>
        <w:t>Independent Report, </w:t>
      </w:r>
      <w:r>
        <w:rPr>
          <w:color w:val="6E6158"/>
        </w:rPr>
        <w:t>December </w:t>
      </w:r>
      <w:r>
        <w:rPr>
          <w:color w:val="6E6158"/>
        </w:rPr>
        <w:t>2020 Presenter, “Getting Coloradoans Back to Work,” Firm Webinar, May 2020</w:t>
      </w:r>
    </w:p>
    <w:p>
      <w:pPr>
        <w:spacing w:before="0"/>
        <w:ind w:left="99" w:right="0" w:firstLine="0"/>
        <w:jc w:val="left"/>
        <w:rPr>
          <w:sz w:val="19"/>
        </w:rPr>
      </w:pPr>
      <w:r>
        <w:rPr>
          <w:color w:val="6E6158"/>
          <w:sz w:val="19"/>
        </w:rPr>
        <w:t>Co-Author, “Evictions</w:t>
      </w:r>
      <w:r>
        <w:rPr>
          <w:color w:val="6E6158"/>
          <w:spacing w:val="1"/>
          <w:sz w:val="19"/>
        </w:rPr>
        <w:t> </w:t>
      </w:r>
      <w:r>
        <w:rPr>
          <w:color w:val="6E6158"/>
          <w:sz w:val="19"/>
        </w:rPr>
        <w:t>in</w:t>
      </w:r>
      <w:r>
        <w:rPr>
          <w:color w:val="6E6158"/>
          <w:spacing w:val="1"/>
          <w:sz w:val="19"/>
        </w:rPr>
        <w:t> </w:t>
      </w:r>
      <w:r>
        <w:rPr>
          <w:color w:val="6E6158"/>
          <w:sz w:val="19"/>
        </w:rPr>
        <w:t>the</w:t>
      </w:r>
      <w:r>
        <w:rPr>
          <w:color w:val="6E6158"/>
          <w:spacing w:val="1"/>
          <w:sz w:val="19"/>
        </w:rPr>
        <w:t> </w:t>
      </w:r>
      <w:r>
        <w:rPr>
          <w:color w:val="6E6158"/>
          <w:sz w:val="19"/>
        </w:rPr>
        <w:t>Time</w:t>
      </w:r>
      <w:r>
        <w:rPr>
          <w:color w:val="6E6158"/>
          <w:spacing w:val="1"/>
          <w:sz w:val="19"/>
        </w:rPr>
        <w:t> </w:t>
      </w:r>
      <w:r>
        <w:rPr>
          <w:color w:val="6E6158"/>
          <w:sz w:val="19"/>
        </w:rPr>
        <w:t>of</w:t>
      </w:r>
      <w:r>
        <w:rPr>
          <w:color w:val="6E6158"/>
          <w:spacing w:val="1"/>
          <w:sz w:val="19"/>
        </w:rPr>
        <w:t> </w:t>
      </w:r>
      <w:r>
        <w:rPr>
          <w:color w:val="6E6158"/>
          <w:sz w:val="19"/>
        </w:rPr>
        <w:t>COVID-19,”</w:t>
      </w:r>
      <w:r>
        <w:rPr>
          <w:color w:val="6E6158"/>
          <w:spacing w:val="1"/>
          <w:sz w:val="19"/>
        </w:rPr>
        <w:t> </w:t>
      </w:r>
      <w:r>
        <w:rPr>
          <w:i/>
          <w:color w:val="6E6158"/>
          <w:sz w:val="20"/>
        </w:rPr>
        <w:t>Colorado</w:t>
      </w:r>
      <w:r>
        <w:rPr>
          <w:i/>
          <w:color w:val="6E6158"/>
          <w:spacing w:val="-2"/>
          <w:sz w:val="20"/>
        </w:rPr>
        <w:t> </w:t>
      </w:r>
      <w:r>
        <w:rPr>
          <w:i/>
          <w:color w:val="6E6158"/>
          <w:sz w:val="20"/>
        </w:rPr>
        <w:t>Real</w:t>
      </w:r>
      <w:r>
        <w:rPr>
          <w:i/>
          <w:color w:val="6E6158"/>
          <w:spacing w:val="-2"/>
          <w:sz w:val="20"/>
        </w:rPr>
        <w:t> </w:t>
      </w:r>
      <w:r>
        <w:rPr>
          <w:i/>
          <w:color w:val="6E6158"/>
          <w:sz w:val="20"/>
        </w:rPr>
        <w:t>Estate</w:t>
      </w:r>
      <w:r>
        <w:rPr>
          <w:i/>
          <w:color w:val="6E6158"/>
          <w:spacing w:val="-3"/>
          <w:sz w:val="20"/>
        </w:rPr>
        <w:t> </w:t>
      </w:r>
      <w:r>
        <w:rPr>
          <w:i/>
          <w:color w:val="6E6158"/>
          <w:sz w:val="20"/>
        </w:rPr>
        <w:t>Journal</w:t>
      </w:r>
      <w:r>
        <w:rPr>
          <w:color w:val="6E6158"/>
          <w:sz w:val="19"/>
        </w:rPr>
        <w:t>,</w:t>
      </w:r>
      <w:r>
        <w:rPr>
          <w:color w:val="6E6158"/>
          <w:spacing w:val="1"/>
          <w:sz w:val="19"/>
        </w:rPr>
        <w:t> </w:t>
      </w:r>
      <w:r>
        <w:rPr>
          <w:color w:val="6E6158"/>
          <w:sz w:val="19"/>
        </w:rPr>
        <w:t>April</w:t>
      </w:r>
      <w:r>
        <w:rPr>
          <w:color w:val="6E6158"/>
          <w:spacing w:val="1"/>
          <w:sz w:val="19"/>
        </w:rPr>
        <w:t> </w:t>
      </w:r>
      <w:r>
        <w:rPr>
          <w:color w:val="6E6158"/>
          <w:spacing w:val="-4"/>
          <w:sz w:val="19"/>
        </w:rPr>
        <w:t>2020</w:t>
      </w:r>
    </w:p>
    <w:p>
      <w:pPr>
        <w:pStyle w:val="BodyText"/>
        <w:spacing w:before="180"/>
      </w:pPr>
      <w:r>
        <w:rPr>
          <w:color w:val="6E6158"/>
        </w:rPr>
        <w:t>Author,</w:t>
      </w:r>
      <w:r>
        <w:rPr>
          <w:color w:val="6E6158"/>
          <w:spacing w:val="9"/>
        </w:rPr>
        <w:t> </w:t>
      </w:r>
      <w:r>
        <w:rPr>
          <w:color w:val="6E6158"/>
        </w:rPr>
        <w:t>“Court</w:t>
      </w:r>
      <w:r>
        <w:rPr>
          <w:color w:val="6E6158"/>
          <w:spacing w:val="10"/>
        </w:rPr>
        <w:t> </w:t>
      </w:r>
      <w:r>
        <w:rPr>
          <w:color w:val="6E6158"/>
        </w:rPr>
        <w:t>Gives</w:t>
      </w:r>
      <w:r>
        <w:rPr>
          <w:color w:val="6E6158"/>
          <w:spacing w:val="9"/>
        </w:rPr>
        <w:t> </w:t>
      </w:r>
      <w:r>
        <w:rPr>
          <w:color w:val="6E6158"/>
        </w:rPr>
        <w:t>Teeth</w:t>
      </w:r>
      <w:r>
        <w:rPr>
          <w:color w:val="6E6158"/>
          <w:spacing w:val="10"/>
        </w:rPr>
        <w:t> </w:t>
      </w:r>
      <w:r>
        <w:rPr>
          <w:color w:val="6E6158"/>
        </w:rPr>
        <w:t>to</w:t>
      </w:r>
      <w:r>
        <w:rPr>
          <w:color w:val="6E6158"/>
          <w:spacing w:val="10"/>
        </w:rPr>
        <w:t> </w:t>
      </w:r>
      <w:r>
        <w:rPr>
          <w:color w:val="6E6158"/>
        </w:rPr>
        <w:t>Defense</w:t>
      </w:r>
      <w:r>
        <w:rPr>
          <w:color w:val="6E6158"/>
          <w:spacing w:val="9"/>
        </w:rPr>
        <w:t> </w:t>
      </w:r>
      <w:r>
        <w:rPr>
          <w:color w:val="6E6158"/>
        </w:rPr>
        <w:t>Waiver</w:t>
      </w:r>
      <w:r>
        <w:rPr>
          <w:color w:val="6E6158"/>
          <w:spacing w:val="10"/>
        </w:rPr>
        <w:t> </w:t>
      </w:r>
      <w:r>
        <w:rPr>
          <w:color w:val="6E6158"/>
        </w:rPr>
        <w:t>in</w:t>
      </w:r>
      <w:r>
        <w:rPr>
          <w:color w:val="6E6158"/>
          <w:spacing w:val="10"/>
        </w:rPr>
        <w:t> </w:t>
      </w:r>
      <w:r>
        <w:rPr>
          <w:color w:val="6E6158"/>
        </w:rPr>
        <w:t>Loan</w:t>
      </w:r>
      <w:r>
        <w:rPr>
          <w:color w:val="6E6158"/>
          <w:spacing w:val="9"/>
        </w:rPr>
        <w:t> </w:t>
      </w:r>
      <w:r>
        <w:rPr>
          <w:color w:val="6E6158"/>
        </w:rPr>
        <w:t>Documents,”</w:t>
      </w:r>
      <w:r>
        <w:rPr>
          <w:color w:val="6E6158"/>
          <w:spacing w:val="10"/>
        </w:rPr>
        <w:t> </w:t>
      </w:r>
      <w:r>
        <w:rPr>
          <w:color w:val="6E6158"/>
        </w:rPr>
        <w:t>The</w:t>
      </w:r>
      <w:r>
        <w:rPr>
          <w:color w:val="6E6158"/>
          <w:spacing w:val="10"/>
        </w:rPr>
        <w:t> </w:t>
      </w:r>
      <w:r>
        <w:rPr>
          <w:color w:val="6E6158"/>
        </w:rPr>
        <w:t>Independent</w:t>
      </w:r>
      <w:r>
        <w:rPr>
          <w:color w:val="6E6158"/>
          <w:spacing w:val="9"/>
        </w:rPr>
        <w:t> </w:t>
      </w:r>
      <w:r>
        <w:rPr>
          <w:color w:val="6E6158"/>
          <w:spacing w:val="-2"/>
        </w:rPr>
        <w:t>Report,</w:t>
      </w:r>
    </w:p>
    <w:p>
      <w:pPr>
        <w:spacing w:before="42"/>
        <w:ind w:left="99" w:right="0" w:firstLine="0"/>
        <w:jc w:val="left"/>
        <w:rPr>
          <w:sz w:val="19"/>
        </w:rPr>
      </w:pPr>
      <w:r>
        <w:rPr>
          <w:i/>
          <w:color w:val="6E6158"/>
          <w:sz w:val="20"/>
        </w:rPr>
        <w:t>Independent</w:t>
      </w:r>
      <w:r>
        <w:rPr>
          <w:i/>
          <w:color w:val="6E6158"/>
          <w:spacing w:val="-13"/>
          <w:sz w:val="20"/>
        </w:rPr>
        <w:t> </w:t>
      </w:r>
      <w:r>
        <w:rPr>
          <w:i/>
          <w:color w:val="6E6158"/>
          <w:sz w:val="20"/>
        </w:rPr>
        <w:t>Bankers</w:t>
      </w:r>
      <w:r>
        <w:rPr>
          <w:i/>
          <w:color w:val="6E6158"/>
          <w:spacing w:val="-12"/>
          <w:sz w:val="20"/>
        </w:rPr>
        <w:t> </w:t>
      </w:r>
      <w:r>
        <w:rPr>
          <w:i/>
          <w:color w:val="6E6158"/>
          <w:sz w:val="20"/>
        </w:rPr>
        <w:t>of</w:t>
      </w:r>
      <w:r>
        <w:rPr>
          <w:i/>
          <w:color w:val="6E6158"/>
          <w:spacing w:val="-13"/>
          <w:sz w:val="20"/>
        </w:rPr>
        <w:t> </w:t>
      </w:r>
      <w:r>
        <w:rPr>
          <w:i/>
          <w:color w:val="6E6158"/>
          <w:sz w:val="20"/>
        </w:rPr>
        <w:t>Colorado</w:t>
      </w:r>
      <w:r>
        <w:rPr>
          <w:color w:val="6E6158"/>
          <w:sz w:val="19"/>
        </w:rPr>
        <w:t>,</w:t>
      </w:r>
      <w:r>
        <w:rPr>
          <w:color w:val="6E6158"/>
          <w:spacing w:val="-9"/>
          <w:sz w:val="19"/>
        </w:rPr>
        <w:t> </w:t>
      </w:r>
      <w:r>
        <w:rPr>
          <w:color w:val="6E6158"/>
          <w:sz w:val="19"/>
        </w:rPr>
        <w:t>November/December</w:t>
      </w:r>
      <w:r>
        <w:rPr>
          <w:color w:val="6E6158"/>
          <w:spacing w:val="-9"/>
          <w:sz w:val="19"/>
        </w:rPr>
        <w:t> </w:t>
      </w:r>
      <w:r>
        <w:rPr>
          <w:color w:val="6E6158"/>
          <w:spacing w:val="-4"/>
          <w:sz w:val="19"/>
        </w:rPr>
        <w:t>2014</w:t>
      </w:r>
    </w:p>
    <w:p>
      <w:pPr>
        <w:pStyle w:val="BodyText"/>
        <w:spacing w:before="172"/>
      </w:pPr>
      <w:r>
        <w:rPr>
          <w:color w:val="6E6158"/>
        </w:rPr>
        <w:t>Author,</w:t>
      </w:r>
      <w:r>
        <w:rPr>
          <w:color w:val="6E6158"/>
          <w:spacing w:val="8"/>
        </w:rPr>
        <w:t> </w:t>
      </w:r>
      <w:r>
        <w:rPr>
          <w:color w:val="6E6158"/>
        </w:rPr>
        <w:t>“At</w:t>
      </w:r>
      <w:r>
        <w:rPr>
          <w:color w:val="6E6158"/>
          <w:spacing w:val="9"/>
        </w:rPr>
        <w:t> </w:t>
      </w:r>
      <w:r>
        <w:rPr>
          <w:color w:val="6E6158"/>
        </w:rPr>
        <w:t>Risk:</w:t>
      </w:r>
      <w:r>
        <w:rPr>
          <w:color w:val="6E6158"/>
          <w:spacing w:val="8"/>
        </w:rPr>
        <w:t> </w:t>
      </w:r>
      <w:r>
        <w:rPr>
          <w:color w:val="6E6158"/>
        </w:rPr>
        <w:t>Secured</w:t>
      </w:r>
      <w:r>
        <w:rPr>
          <w:color w:val="6E6158"/>
          <w:spacing w:val="9"/>
        </w:rPr>
        <w:t> </w:t>
      </w:r>
      <w:r>
        <w:rPr>
          <w:color w:val="6E6158"/>
        </w:rPr>
        <w:t>Creditors’</w:t>
      </w:r>
      <w:r>
        <w:rPr>
          <w:color w:val="6E6158"/>
          <w:spacing w:val="8"/>
        </w:rPr>
        <w:t> </w:t>
      </w:r>
      <w:r>
        <w:rPr>
          <w:color w:val="6E6158"/>
        </w:rPr>
        <w:t>Right</w:t>
      </w:r>
      <w:r>
        <w:rPr>
          <w:color w:val="6E6158"/>
          <w:spacing w:val="9"/>
        </w:rPr>
        <w:t> </w:t>
      </w:r>
      <w:r>
        <w:rPr>
          <w:color w:val="6E6158"/>
        </w:rPr>
        <w:t>to</w:t>
      </w:r>
      <w:r>
        <w:rPr>
          <w:color w:val="6E6158"/>
          <w:spacing w:val="8"/>
        </w:rPr>
        <w:t> </w:t>
      </w:r>
      <w:r>
        <w:rPr>
          <w:color w:val="6E6158"/>
        </w:rPr>
        <w:t>Credit</w:t>
      </w:r>
      <w:r>
        <w:rPr>
          <w:color w:val="6E6158"/>
          <w:spacing w:val="9"/>
        </w:rPr>
        <w:t> </w:t>
      </w:r>
      <w:r>
        <w:rPr>
          <w:color w:val="6E6158"/>
        </w:rPr>
        <w:t>Bid</w:t>
      </w:r>
      <w:r>
        <w:rPr>
          <w:color w:val="6E6158"/>
          <w:spacing w:val="9"/>
        </w:rPr>
        <w:t> </w:t>
      </w:r>
      <w:r>
        <w:rPr>
          <w:color w:val="6E6158"/>
        </w:rPr>
        <w:t>on</w:t>
      </w:r>
      <w:r>
        <w:rPr>
          <w:color w:val="6E6158"/>
          <w:spacing w:val="8"/>
        </w:rPr>
        <w:t> </w:t>
      </w:r>
      <w:r>
        <w:rPr>
          <w:color w:val="6E6158"/>
        </w:rPr>
        <w:t>Assets</w:t>
      </w:r>
      <w:r>
        <w:rPr>
          <w:color w:val="6E6158"/>
          <w:spacing w:val="9"/>
        </w:rPr>
        <w:t> </w:t>
      </w:r>
      <w:r>
        <w:rPr>
          <w:color w:val="6E6158"/>
        </w:rPr>
        <w:t>Sold</w:t>
      </w:r>
      <w:r>
        <w:rPr>
          <w:color w:val="6E6158"/>
          <w:spacing w:val="8"/>
        </w:rPr>
        <w:t> </w:t>
      </w:r>
      <w:r>
        <w:rPr>
          <w:color w:val="6E6158"/>
        </w:rPr>
        <w:t>at</w:t>
      </w:r>
      <w:r>
        <w:rPr>
          <w:color w:val="6E6158"/>
          <w:spacing w:val="9"/>
        </w:rPr>
        <w:t> </w:t>
      </w:r>
      <w:r>
        <w:rPr>
          <w:color w:val="6E6158"/>
        </w:rPr>
        <w:t>Chapter</w:t>
      </w:r>
      <w:r>
        <w:rPr>
          <w:color w:val="6E6158"/>
          <w:spacing w:val="8"/>
        </w:rPr>
        <w:t> </w:t>
      </w:r>
      <w:r>
        <w:rPr>
          <w:color w:val="6E6158"/>
        </w:rPr>
        <w:t>11</w:t>
      </w:r>
      <w:r>
        <w:rPr>
          <w:color w:val="6E6158"/>
          <w:spacing w:val="9"/>
        </w:rPr>
        <w:t> </w:t>
      </w:r>
      <w:r>
        <w:rPr>
          <w:color w:val="6E6158"/>
        </w:rPr>
        <w:t>Plan</w:t>
      </w:r>
      <w:r>
        <w:rPr>
          <w:color w:val="6E6158"/>
          <w:spacing w:val="9"/>
        </w:rPr>
        <w:t> </w:t>
      </w:r>
      <w:r>
        <w:rPr>
          <w:color w:val="6E6158"/>
          <w:spacing w:val="-2"/>
        </w:rPr>
        <w:t>Sales,”</w:t>
      </w:r>
    </w:p>
    <w:p>
      <w:pPr>
        <w:spacing w:before="42"/>
        <w:ind w:left="99" w:right="0" w:firstLine="0"/>
        <w:jc w:val="left"/>
        <w:rPr>
          <w:sz w:val="19"/>
        </w:rPr>
      </w:pPr>
      <w:r>
        <w:rPr>
          <w:i/>
          <w:color w:val="6E6158"/>
          <w:sz w:val="20"/>
        </w:rPr>
        <w:t>The</w:t>
      </w:r>
      <w:r>
        <w:rPr>
          <w:i/>
          <w:color w:val="6E6158"/>
          <w:spacing w:val="-4"/>
          <w:sz w:val="20"/>
        </w:rPr>
        <w:t> </w:t>
      </w:r>
      <w:r>
        <w:rPr>
          <w:i/>
          <w:color w:val="6E6158"/>
          <w:sz w:val="20"/>
        </w:rPr>
        <w:t>Business</w:t>
      </w:r>
      <w:r>
        <w:rPr>
          <w:i/>
          <w:color w:val="6E6158"/>
          <w:spacing w:val="-4"/>
          <w:sz w:val="20"/>
        </w:rPr>
        <w:t> </w:t>
      </w:r>
      <w:r>
        <w:rPr>
          <w:i/>
          <w:color w:val="6E6158"/>
          <w:sz w:val="20"/>
        </w:rPr>
        <w:t>Suit</w:t>
      </w:r>
      <w:r>
        <w:rPr>
          <w:color w:val="6E6158"/>
          <w:sz w:val="19"/>
        </w:rPr>
        <w:t>,</w:t>
      </w:r>
      <w:r>
        <w:rPr>
          <w:color w:val="6E6158"/>
          <w:spacing w:val="-1"/>
          <w:sz w:val="19"/>
        </w:rPr>
        <w:t> </w:t>
      </w:r>
      <w:r>
        <w:rPr>
          <w:color w:val="6E6158"/>
          <w:sz w:val="19"/>
        </w:rPr>
        <w:t>Volume</w:t>
      </w:r>
      <w:r>
        <w:rPr>
          <w:color w:val="6E6158"/>
          <w:spacing w:val="-1"/>
          <w:sz w:val="19"/>
        </w:rPr>
        <w:t> </w:t>
      </w:r>
      <w:r>
        <w:rPr>
          <w:color w:val="6E6158"/>
          <w:sz w:val="19"/>
        </w:rPr>
        <w:t>13,</w:t>
      </w:r>
      <w:r>
        <w:rPr>
          <w:color w:val="6E6158"/>
          <w:spacing w:val="-1"/>
          <w:sz w:val="19"/>
        </w:rPr>
        <w:t> </w:t>
      </w:r>
      <w:r>
        <w:rPr>
          <w:color w:val="6E6158"/>
          <w:sz w:val="19"/>
        </w:rPr>
        <w:t>Issue</w:t>
      </w:r>
      <w:r>
        <w:rPr>
          <w:color w:val="6E6158"/>
          <w:spacing w:val="-1"/>
          <w:sz w:val="19"/>
        </w:rPr>
        <w:t> </w:t>
      </w:r>
      <w:r>
        <w:rPr>
          <w:color w:val="6E6158"/>
          <w:sz w:val="19"/>
        </w:rPr>
        <w:t>8, October</w:t>
      </w:r>
      <w:r>
        <w:rPr>
          <w:color w:val="6E6158"/>
          <w:spacing w:val="-1"/>
          <w:sz w:val="19"/>
        </w:rPr>
        <w:t> </w:t>
      </w:r>
      <w:r>
        <w:rPr>
          <w:color w:val="6E6158"/>
          <w:spacing w:val="-4"/>
          <w:sz w:val="19"/>
        </w:rPr>
        <w:t>2010</w:t>
      </w:r>
    </w:p>
    <w:p>
      <w:pPr>
        <w:pStyle w:val="BodyText"/>
        <w:spacing w:line="292" w:lineRule="auto" w:before="180"/>
        <w:ind w:right="748"/>
      </w:pPr>
      <w:r>
        <w:rPr>
          <w:color w:val="6E6158"/>
        </w:rPr>
        <w:t>Author, “New Colorado Law Allows Expedited Real Property Foreclosures,” Firm </w:t>
      </w:r>
      <w:r>
        <w:rPr>
          <w:color w:val="6E6158"/>
        </w:rPr>
        <w:t>Opportunities and Challenges, June 2010</w:t>
      </w:r>
    </w:p>
    <w:p>
      <w:pPr>
        <w:pStyle w:val="BodyText"/>
        <w:spacing w:line="292" w:lineRule="auto" w:before="123"/>
        <w:ind w:right="392"/>
      </w:pPr>
      <w:r>
        <w:rPr>
          <w:color w:val="6E6158"/>
        </w:rPr>
        <w:t>Author, “Duties to Pay Subcontractors Under the Colorado Trust Fund Statute,” Firm </w:t>
      </w:r>
      <w:r>
        <w:rPr>
          <w:color w:val="6E6158"/>
        </w:rPr>
        <w:t>Opportunities and Challenges, March 2009</w:t>
      </w:r>
    </w:p>
    <w:p>
      <w:pPr>
        <w:pStyle w:val="BodyText"/>
        <w:spacing w:line="278" w:lineRule="auto" w:before="121"/>
      </w:pPr>
      <w:r>
        <w:rPr>
          <w:color w:val="6E6158"/>
        </w:rPr>
        <w:t>Author, “Commercial Loans: Using Litigation Effectively When Borrowers Default,” </w:t>
      </w:r>
      <w:r>
        <w:rPr>
          <w:i/>
          <w:color w:val="6E6158"/>
          <w:sz w:val="20"/>
        </w:rPr>
        <w:t>Denver </w:t>
      </w:r>
      <w:r>
        <w:rPr>
          <w:i/>
          <w:color w:val="6E6158"/>
          <w:sz w:val="20"/>
        </w:rPr>
        <w:t>Business</w:t>
      </w:r>
      <w:r>
        <w:rPr>
          <w:i/>
          <w:color w:val="6E6158"/>
          <w:sz w:val="20"/>
        </w:rPr>
        <w:t> Journal</w:t>
      </w:r>
      <w:r>
        <w:rPr>
          <w:color w:val="6E6158"/>
        </w:rPr>
        <w:t>, Volume 60, No. 11, August 2008</w:t>
      </w:r>
    </w:p>
    <w:p>
      <w:pPr>
        <w:pStyle w:val="BodyText"/>
        <w:spacing w:before="122"/>
        <w:ind w:left="0"/>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AFFILIATIONS</w:t>
      </w:r>
    </w:p>
    <w:p>
      <w:pPr>
        <w:pStyle w:val="BodyText"/>
        <w:spacing w:before="27"/>
        <w:ind w:left="0"/>
        <w:rPr>
          <w:b/>
        </w:rPr>
      </w:pPr>
    </w:p>
    <w:p>
      <w:pPr>
        <w:pStyle w:val="BodyText"/>
        <w:spacing w:before="1"/>
      </w:pPr>
      <w:r>
        <w:rPr>
          <w:color w:val="6E6158"/>
        </w:rPr>
        <w:t>Volunteer,</w:t>
      </w:r>
      <w:r>
        <w:rPr>
          <w:color w:val="6E6158"/>
          <w:spacing w:val="-4"/>
        </w:rPr>
        <w:t> </w:t>
      </w:r>
      <w:r>
        <w:rPr>
          <w:color w:val="6E6158"/>
        </w:rPr>
        <w:t>Ask</w:t>
      </w:r>
      <w:r>
        <w:rPr>
          <w:color w:val="6E6158"/>
          <w:spacing w:val="-3"/>
        </w:rPr>
        <w:t> </w:t>
      </w:r>
      <w:r>
        <w:rPr>
          <w:color w:val="6E6158"/>
        </w:rPr>
        <w:t>a</w:t>
      </w:r>
      <w:r>
        <w:rPr>
          <w:color w:val="6E6158"/>
          <w:spacing w:val="-4"/>
        </w:rPr>
        <w:t> </w:t>
      </w:r>
      <w:r>
        <w:rPr>
          <w:color w:val="6E6158"/>
          <w:spacing w:val="-2"/>
        </w:rPr>
        <w:t>Lawyer</w:t>
      </w:r>
    </w:p>
    <w:p>
      <w:pPr>
        <w:pStyle w:val="BodyText"/>
        <w:spacing w:line="292" w:lineRule="auto" w:before="182"/>
        <w:ind w:right="748"/>
      </w:pPr>
      <w:r>
        <w:rPr>
          <w:color w:val="6E6158"/>
        </w:rPr>
        <w:t>Colorado Bar Association, Litigation Section Executive Council and Annual Litigators’ </w:t>
      </w:r>
      <w:r>
        <w:rPr>
          <w:color w:val="6E6158"/>
        </w:rPr>
        <w:t>Summit</w:t>
      </w:r>
      <w:r>
        <w:rPr>
          <w:color w:val="6E6158"/>
          <w:spacing w:val="40"/>
        </w:rPr>
        <w:t> </w:t>
      </w:r>
      <w:r>
        <w:rPr>
          <w:color w:val="6E6158"/>
        </w:rPr>
        <w:t>Planning Committee</w:t>
      </w:r>
    </w:p>
    <w:p>
      <w:pPr>
        <w:pStyle w:val="BodyText"/>
        <w:spacing w:line="422" w:lineRule="auto" w:before="123"/>
        <w:ind w:right="4508"/>
      </w:pPr>
      <w:r>
        <w:rPr>
          <w:color w:val="6E6158"/>
        </w:rPr>
        <w:t>Former Director, Colorado Bowhunters </w:t>
      </w:r>
      <w:r>
        <w:rPr>
          <w:color w:val="6E6158"/>
        </w:rPr>
        <w:t>Association Former President, Contractors Council, Member Defense Research Institute</w:t>
      </w:r>
    </w:p>
    <w:p>
      <w:pPr>
        <w:pStyle w:val="BodyText"/>
        <w:spacing w:line="232" w:lineRule="exact"/>
      </w:pPr>
      <w:r>
        <w:rPr>
          <w:color w:val="6E6158"/>
        </w:rPr>
        <w:t>Denver</w:t>
      </w:r>
      <w:r>
        <w:rPr>
          <w:color w:val="6E6158"/>
          <w:spacing w:val="10"/>
        </w:rPr>
        <w:t> </w:t>
      </w:r>
      <w:r>
        <w:rPr>
          <w:color w:val="6E6158"/>
        </w:rPr>
        <w:t>Bar</w:t>
      </w:r>
      <w:r>
        <w:rPr>
          <w:color w:val="6E6158"/>
          <w:spacing w:val="11"/>
        </w:rPr>
        <w:t> </w:t>
      </w:r>
      <w:r>
        <w:rPr>
          <w:color w:val="6E6158"/>
          <w:spacing w:val="-2"/>
        </w:rPr>
        <w:t>Association</w:t>
      </w:r>
    </w:p>
    <w:p>
      <w:pPr>
        <w:pStyle w:val="BodyText"/>
        <w:spacing w:before="174"/>
      </w:pPr>
      <w:r>
        <w:rPr>
          <w:color w:val="6E6158"/>
        </w:rPr>
        <w:t>First</w:t>
      </w:r>
      <w:r>
        <w:rPr>
          <w:color w:val="6E6158"/>
          <w:spacing w:val="10"/>
        </w:rPr>
        <w:t> </w:t>
      </w:r>
      <w:r>
        <w:rPr>
          <w:color w:val="6E6158"/>
        </w:rPr>
        <w:t>Judicial</w:t>
      </w:r>
      <w:r>
        <w:rPr>
          <w:color w:val="6E6158"/>
          <w:spacing w:val="11"/>
        </w:rPr>
        <w:t> </w:t>
      </w:r>
      <w:r>
        <w:rPr>
          <w:color w:val="6E6158"/>
        </w:rPr>
        <w:t>District</w:t>
      </w:r>
      <w:r>
        <w:rPr>
          <w:color w:val="6E6158"/>
          <w:spacing w:val="10"/>
        </w:rPr>
        <w:t> </w:t>
      </w:r>
      <w:r>
        <w:rPr>
          <w:color w:val="6E6158"/>
        </w:rPr>
        <w:t>Bar</w:t>
      </w:r>
      <w:r>
        <w:rPr>
          <w:color w:val="6E6158"/>
          <w:spacing w:val="11"/>
        </w:rPr>
        <w:t> </w:t>
      </w:r>
      <w:r>
        <w:rPr>
          <w:color w:val="6E6158"/>
          <w:spacing w:val="-2"/>
        </w:rPr>
        <w:t>Association</w:t>
      </w:r>
    </w:p>
    <w:p>
      <w:pPr>
        <w:pStyle w:val="BodyText"/>
        <w:spacing w:before="174"/>
      </w:pPr>
      <w:r>
        <w:rPr>
          <w:color w:val="6E6158"/>
        </w:rPr>
        <w:t>Associate</w:t>
      </w:r>
      <w:r>
        <w:rPr>
          <w:color w:val="6E6158"/>
          <w:spacing w:val="12"/>
        </w:rPr>
        <w:t> </w:t>
      </w:r>
      <w:r>
        <w:rPr>
          <w:color w:val="6E6158"/>
        </w:rPr>
        <w:t>Member,</w:t>
      </w:r>
      <w:r>
        <w:rPr>
          <w:color w:val="6E6158"/>
          <w:spacing w:val="12"/>
        </w:rPr>
        <w:t> </w:t>
      </w:r>
      <w:r>
        <w:rPr>
          <w:color w:val="6E6158"/>
        </w:rPr>
        <w:t>Independent</w:t>
      </w:r>
      <w:r>
        <w:rPr>
          <w:color w:val="6E6158"/>
          <w:spacing w:val="12"/>
        </w:rPr>
        <w:t> </w:t>
      </w:r>
      <w:r>
        <w:rPr>
          <w:color w:val="6E6158"/>
        </w:rPr>
        <w:t>Bankers</w:t>
      </w:r>
      <w:r>
        <w:rPr>
          <w:color w:val="6E6158"/>
          <w:spacing w:val="12"/>
        </w:rPr>
        <w:t> </w:t>
      </w:r>
      <w:r>
        <w:rPr>
          <w:color w:val="6E6158"/>
        </w:rPr>
        <w:t>of</w:t>
      </w:r>
      <w:r>
        <w:rPr>
          <w:color w:val="6E6158"/>
          <w:spacing w:val="12"/>
        </w:rPr>
        <w:t> </w:t>
      </w:r>
      <w:r>
        <w:rPr>
          <w:color w:val="6E6158"/>
          <w:spacing w:val="-2"/>
        </w:rPr>
        <w:t>Colorado</w:t>
      </w:r>
    </w:p>
    <w:p>
      <w:pPr>
        <w:pStyle w:val="BodyText"/>
        <w:spacing w:before="171"/>
        <w:ind w:left="0"/>
        <w:rPr>
          <w:sz w:val="24"/>
        </w:rPr>
      </w:pPr>
    </w:p>
    <w:p>
      <w:pPr>
        <w:pStyle w:val="Heading1"/>
      </w:pPr>
      <w:r>
        <w:rPr>
          <w:color w:val="FF8100"/>
          <w:spacing w:val="-2"/>
        </w:rPr>
        <w:t>ADMISSIONS</w:t>
      </w:r>
    </w:p>
    <w:p>
      <w:pPr>
        <w:pStyle w:val="Heading1"/>
        <w:spacing w:after="0"/>
        <w:sectPr>
          <w:pgSz w:w="12240" w:h="15840"/>
          <w:pgMar w:top="500" w:bottom="280" w:left="1440" w:right="1080"/>
        </w:sectPr>
      </w:pPr>
    </w:p>
    <w:p>
      <w:pPr>
        <w:spacing w:before="96"/>
        <w:ind w:left="99" w:right="0" w:firstLine="0"/>
        <w:jc w:val="left"/>
        <w:rPr>
          <w:i/>
          <w:sz w:val="20"/>
        </w:rPr>
      </w:pPr>
      <w:r>
        <w:rPr>
          <w:i/>
          <w:color w:val="6E6158"/>
          <w:spacing w:val="-2"/>
          <w:sz w:val="20"/>
        </w:rPr>
        <w:t>Best</w:t>
      </w:r>
      <w:r>
        <w:rPr>
          <w:i/>
          <w:color w:val="6E6158"/>
          <w:spacing w:val="-7"/>
          <w:sz w:val="20"/>
        </w:rPr>
        <w:t> </w:t>
      </w:r>
      <w:r>
        <w:rPr>
          <w:i/>
          <w:color w:val="6E6158"/>
          <w:spacing w:val="-2"/>
          <w:sz w:val="20"/>
        </w:rPr>
        <w:t>Lawyers</w:t>
      </w:r>
      <w:r>
        <w:rPr>
          <w:i/>
          <w:color w:val="6E6158"/>
          <w:spacing w:val="-7"/>
          <w:sz w:val="20"/>
        </w:rPr>
        <w:t> </w:t>
      </w:r>
      <w:r>
        <w:rPr>
          <w:i/>
          <w:color w:val="6E6158"/>
          <w:spacing w:val="-2"/>
          <w:sz w:val="20"/>
        </w:rPr>
        <w:t>in</w:t>
      </w:r>
      <w:r>
        <w:rPr>
          <w:i/>
          <w:color w:val="6E6158"/>
          <w:spacing w:val="-6"/>
          <w:sz w:val="20"/>
        </w:rPr>
        <w:t> </w:t>
      </w:r>
      <w:r>
        <w:rPr>
          <w:i/>
          <w:color w:val="6E6158"/>
          <w:spacing w:val="-2"/>
          <w:sz w:val="20"/>
        </w:rPr>
        <w:t>America</w:t>
      </w:r>
      <w:r>
        <w:rPr>
          <w:i/>
          <w:color w:val="6E6158"/>
          <w:spacing w:val="-2"/>
          <w:position w:val="7"/>
          <w:sz w:val="16"/>
        </w:rPr>
        <w:t>®</w:t>
      </w:r>
      <w:r>
        <w:rPr>
          <w:i/>
          <w:color w:val="6E6158"/>
          <w:spacing w:val="-2"/>
          <w:sz w:val="20"/>
        </w:rPr>
        <w:t>,</w:t>
      </w:r>
    </w:p>
    <w:p>
      <w:pPr>
        <w:pStyle w:val="BodyText"/>
        <w:ind w:left="0"/>
        <w:rPr>
          <w:i/>
          <w:sz w:val="20"/>
        </w:rPr>
      </w:pPr>
    </w:p>
    <w:p>
      <w:pPr>
        <w:pStyle w:val="BodyText"/>
      </w:pPr>
      <w:r>
        <w:rPr>
          <w:color w:val="6E6158"/>
          <w:spacing w:val="-2"/>
        </w:rPr>
        <w:t>Colorado</w:t>
      </w:r>
    </w:p>
    <w:p>
      <w:pPr>
        <w:pStyle w:val="BodyText"/>
        <w:spacing w:before="182"/>
      </w:pPr>
      <w:r>
        <w:rPr>
          <w:color w:val="6E6158"/>
        </w:rPr>
        <w:t>U.S.</w:t>
      </w:r>
      <w:r>
        <w:rPr>
          <w:color w:val="6E6158"/>
          <w:spacing w:val="7"/>
        </w:rPr>
        <w:t> </w:t>
      </w:r>
      <w:r>
        <w:rPr>
          <w:color w:val="6E6158"/>
        </w:rPr>
        <w:t>Court</w:t>
      </w:r>
      <w:r>
        <w:rPr>
          <w:color w:val="6E6158"/>
          <w:spacing w:val="8"/>
        </w:rPr>
        <w:t> </w:t>
      </w:r>
      <w:r>
        <w:rPr>
          <w:color w:val="6E6158"/>
        </w:rPr>
        <w:t>of</w:t>
      </w:r>
      <w:r>
        <w:rPr>
          <w:color w:val="6E6158"/>
          <w:spacing w:val="8"/>
        </w:rPr>
        <w:t> </w:t>
      </w:r>
      <w:r>
        <w:rPr>
          <w:color w:val="6E6158"/>
        </w:rPr>
        <w:t>Appeals</w:t>
      </w:r>
      <w:r>
        <w:rPr>
          <w:color w:val="6E6158"/>
          <w:spacing w:val="7"/>
        </w:rPr>
        <w:t> </w:t>
      </w:r>
      <w:r>
        <w:rPr>
          <w:color w:val="6E6158"/>
        </w:rPr>
        <w:t>for</w:t>
      </w:r>
      <w:r>
        <w:rPr>
          <w:color w:val="6E6158"/>
          <w:spacing w:val="8"/>
        </w:rPr>
        <w:t> </w:t>
      </w:r>
      <w:r>
        <w:rPr>
          <w:color w:val="6E6158"/>
        </w:rPr>
        <w:t>the</w:t>
      </w:r>
      <w:r>
        <w:rPr>
          <w:color w:val="6E6158"/>
          <w:spacing w:val="8"/>
        </w:rPr>
        <w:t> </w:t>
      </w:r>
      <w:r>
        <w:rPr>
          <w:color w:val="6E6158"/>
        </w:rPr>
        <w:t>Tenth</w:t>
      </w:r>
      <w:r>
        <w:rPr>
          <w:color w:val="6E6158"/>
          <w:spacing w:val="7"/>
        </w:rPr>
        <w:t> </w:t>
      </w:r>
      <w:r>
        <w:rPr>
          <w:color w:val="6E6158"/>
          <w:spacing w:val="-2"/>
        </w:rPr>
        <w:t>Circuit</w:t>
      </w:r>
    </w:p>
    <w:p>
      <w:pPr>
        <w:pStyle w:val="BodyText"/>
        <w:spacing w:before="174"/>
      </w:pPr>
      <w:r>
        <w:rPr>
          <w:color w:val="6E6158"/>
        </w:rPr>
        <w:t>U.S.</w:t>
      </w:r>
      <w:r>
        <w:rPr>
          <w:color w:val="6E6158"/>
          <w:spacing w:val="8"/>
        </w:rPr>
        <w:t> </w:t>
      </w:r>
      <w:r>
        <w:rPr>
          <w:color w:val="6E6158"/>
        </w:rPr>
        <w:t>Court</w:t>
      </w:r>
      <w:r>
        <w:rPr>
          <w:color w:val="6E6158"/>
          <w:spacing w:val="9"/>
        </w:rPr>
        <w:t> </w:t>
      </w:r>
      <w:r>
        <w:rPr>
          <w:color w:val="6E6158"/>
        </w:rPr>
        <w:t>of</w:t>
      </w:r>
      <w:r>
        <w:rPr>
          <w:color w:val="6E6158"/>
          <w:spacing w:val="8"/>
        </w:rPr>
        <w:t> </w:t>
      </w:r>
      <w:r>
        <w:rPr>
          <w:color w:val="6E6158"/>
        </w:rPr>
        <w:t>Appeals</w:t>
      </w:r>
      <w:r>
        <w:rPr>
          <w:color w:val="6E6158"/>
          <w:spacing w:val="9"/>
        </w:rPr>
        <w:t> </w:t>
      </w:r>
      <w:r>
        <w:rPr>
          <w:color w:val="6E6158"/>
        </w:rPr>
        <w:t>–</w:t>
      </w:r>
      <w:r>
        <w:rPr>
          <w:color w:val="6E6158"/>
          <w:spacing w:val="9"/>
        </w:rPr>
        <w:t> </w:t>
      </w:r>
      <w:r>
        <w:rPr>
          <w:color w:val="6E6158"/>
        </w:rPr>
        <w:t>District</w:t>
      </w:r>
      <w:r>
        <w:rPr>
          <w:color w:val="6E6158"/>
          <w:spacing w:val="8"/>
        </w:rPr>
        <w:t> </w:t>
      </w:r>
      <w:r>
        <w:rPr>
          <w:color w:val="6E6158"/>
        </w:rPr>
        <w:t>of</w:t>
      </w:r>
      <w:r>
        <w:rPr>
          <w:color w:val="6E6158"/>
          <w:spacing w:val="9"/>
        </w:rPr>
        <w:t> </w:t>
      </w:r>
      <w:r>
        <w:rPr>
          <w:color w:val="6E6158"/>
          <w:spacing w:val="-2"/>
        </w:rPr>
        <w:t>Colorado</w:t>
      </w:r>
    </w:p>
    <w:p>
      <w:pPr>
        <w:pStyle w:val="BodyText"/>
        <w:spacing w:before="174"/>
      </w:pPr>
      <w:r>
        <w:rPr>
          <w:color w:val="6E6158"/>
        </w:rPr>
        <w:t>U.S.</w:t>
      </w:r>
      <w:r>
        <w:rPr>
          <w:color w:val="6E6158"/>
          <w:spacing w:val="8"/>
        </w:rPr>
        <w:t> </w:t>
      </w:r>
      <w:r>
        <w:rPr>
          <w:color w:val="6E6158"/>
        </w:rPr>
        <w:t>District</w:t>
      </w:r>
      <w:r>
        <w:rPr>
          <w:color w:val="6E6158"/>
          <w:spacing w:val="9"/>
        </w:rPr>
        <w:t> </w:t>
      </w:r>
      <w:r>
        <w:rPr>
          <w:color w:val="6E6158"/>
        </w:rPr>
        <w:t>Court</w:t>
      </w:r>
      <w:r>
        <w:rPr>
          <w:color w:val="6E6158"/>
          <w:spacing w:val="9"/>
        </w:rPr>
        <w:t> </w:t>
      </w:r>
      <w:r>
        <w:rPr>
          <w:color w:val="6E6158"/>
        </w:rPr>
        <w:t>–</w:t>
      </w:r>
      <w:r>
        <w:rPr>
          <w:color w:val="6E6158"/>
          <w:spacing w:val="8"/>
        </w:rPr>
        <w:t> </w:t>
      </w:r>
      <w:r>
        <w:rPr>
          <w:color w:val="6E6158"/>
        </w:rPr>
        <w:t>District</w:t>
      </w:r>
      <w:r>
        <w:rPr>
          <w:color w:val="6E6158"/>
          <w:spacing w:val="9"/>
        </w:rPr>
        <w:t> </w:t>
      </w:r>
      <w:r>
        <w:rPr>
          <w:color w:val="6E6158"/>
        </w:rPr>
        <w:t>of</w:t>
      </w:r>
      <w:r>
        <w:rPr>
          <w:color w:val="6E6158"/>
          <w:spacing w:val="9"/>
        </w:rPr>
        <w:t> </w:t>
      </w:r>
      <w:r>
        <w:rPr>
          <w:color w:val="6E6158"/>
          <w:spacing w:val="-2"/>
        </w:rPr>
        <w:t>Colorado</w:t>
      </w:r>
    </w:p>
    <w:p>
      <w:pPr>
        <w:pStyle w:val="BodyText"/>
        <w:spacing w:before="174"/>
      </w:pPr>
      <w:r>
        <w:rPr>
          <w:color w:val="6E6158"/>
        </w:rPr>
        <w:t>U.S.</w:t>
      </w:r>
      <w:r>
        <w:rPr>
          <w:color w:val="6E6158"/>
          <w:spacing w:val="11"/>
        </w:rPr>
        <w:t> </w:t>
      </w:r>
      <w:r>
        <w:rPr>
          <w:color w:val="6E6158"/>
        </w:rPr>
        <w:t>Supreme</w:t>
      </w:r>
      <w:r>
        <w:rPr>
          <w:color w:val="6E6158"/>
          <w:spacing w:val="12"/>
        </w:rPr>
        <w:t> </w:t>
      </w:r>
      <w:r>
        <w:rPr>
          <w:color w:val="6E6158"/>
          <w:spacing w:val="-2"/>
        </w:rPr>
        <w:t>Court</w:t>
      </w:r>
    </w:p>
    <w:sectPr>
      <w:pgSz w:w="12240" w:h="15840"/>
      <w:pgMar w:top="48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litigation/" TargetMode="External"/><Relationship Id="rId9" Type="http://schemas.openxmlformats.org/officeDocument/2006/relationships/hyperlink" Target="https://www.fennemorelaw.com/contact-us/denver-2/" TargetMode="External"/><Relationship Id="rId10" Type="http://schemas.openxmlformats.org/officeDocument/2006/relationships/hyperlink" Target="mailto:dlaird@fennemorelaw.com" TargetMode="External"/><Relationship Id="rId11" Type="http://schemas.openxmlformats.org/officeDocument/2006/relationships/hyperlink" Target="https://benchmarklitigation.com/Lawyer/David-Laird/Profile/119530#profile" TargetMode="External"/><Relationship Id="rId12" Type="http://schemas.openxmlformats.org/officeDocument/2006/relationships/hyperlink" Target="https://www.bestlawyers.com/lawyers/david-laird/326392" TargetMode="External"/><Relationship Id="rId13" Type="http://schemas.openxmlformats.org/officeDocument/2006/relationships/hyperlink" Target="https://profiles.superlawyers.com/colorado/denver/lawyer/david-a-laird/845b15d0-bd8c-43c8-9030-a9a7e0441273.html" TargetMode="External"/><Relationship Id="rId14" Type="http://schemas.openxmlformats.org/officeDocument/2006/relationships/hyperlink" Target="http://www.martindale.com/David-A-Laird/8450945-lawy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A. Laird - Fennemore</dc:title>
  <dcterms:created xsi:type="dcterms:W3CDTF">2026-06-12T09:51:17Z</dcterms:created>
  <dcterms:modified xsi:type="dcterms:W3CDTF">2026-06-12T09:51:17Z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