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236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-2956956</wp:posOffset>
                </wp:positionV>
                <wp:extent cx="6071870" cy="2888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NEW26 David Reignier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01606" y="1369338"/>
                            <a:ext cx="190182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1825" h="320675">
                                <a:moveTo>
                                  <a:pt x="1901571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901571" y="320382"/>
                                </a:lnTo>
                                <a:lnTo>
                                  <a:pt x="1901571" y="315214"/>
                                </a:lnTo>
                                <a:close/>
                              </a:path>
                              <a:path w="1901825" h="320675">
                                <a:moveTo>
                                  <a:pt x="19015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901571" y="5168"/>
                                </a:lnTo>
                                <a:lnTo>
                                  <a:pt x="1901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603554" y="763308"/>
                            <a:ext cx="191325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39"/>
                                </w:rPr>
                                <w:t>DAVID</w:t>
                              </w:r>
                              <w:r>
                                <w:rPr>
                                  <w:color w:val="FFFFFF"/>
                                  <w:spacing w:val="-18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REIGNIER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25444" y="1859626"/>
                            <a:ext cx="46926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Vacaville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36899" y="201978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707.399.4282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696198" y="201978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707.207.7955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792080" y="2226505"/>
                            <a:ext cx="153606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dreignier@fennemorelaw.com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32.831253pt;width:478.1pt;height:227.45pt;mso-position-horizontal-relative:page;mso-position-vertical-relative:paragraph;z-index:15728640" id="docshapegroup1" coordorigin="1336,-4657" coordsize="9562,4549">
                <v:shape style="position:absolute;left:1336;top:-4657;width:2165;height:424" type="#_x0000_t75" id="docshape2" alt="Fennemore" href="https://www.fennemorelaw.com/" stroked="false">
                  <v:imagedata r:id="rId5" o:title=""/>
                </v:shape>
                <v:shape style="position:absolute;left:1336;top:-4234;width:4785;height:4126" type="#_x0000_t75" id="docshape3" alt="NEW26 David Reignier bio" stroked="false">
                  <v:imagedata r:id="rId7" o:title=""/>
                </v:shape>
                <v:rect style="position:absolute;left:6121;top:-4234;width:4777;height:4126" id="docshape4" filled="true" fillcolor="#262424" stroked="false">
                  <v:fill type="solid"/>
                </v:rect>
                <v:shape style="position:absolute;left:7008;top:-2501;width:2995;height:505" id="docshape5" coordorigin="7008,-2500" coordsize="2995,505" path="m10003,-2004l7008,-2004,7008,-1996,10003,-1996,10003,-2004xm10003,-2500l7008,-2500,7008,-2492,10003,-2492,10003,-250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011;top:-3455;width:3013;height:1300" type="#_x0000_t202" id="docshape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39"/>
                          </w:rPr>
                          <w:t>DAVID</w:t>
                        </w:r>
                        <w:r>
                          <w:rPr>
                            <w:color w:val="FFFFFF"/>
                            <w:spacing w:val="-18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REIGNIER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47;top:-1729;width:739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Vacaville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063;top:-1476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707.399.4282</w:t>
                        </w:r>
                      </w:p>
                    </w:txbxContent>
                  </v:textbox>
                  <w10:wrap type="none"/>
                </v:shape>
                <v:shape style="position:absolute;left:8731;top:-1476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707.207.7955</w:t>
                        </w:r>
                      </w:p>
                    </w:txbxContent>
                  </v:textbox>
                  <w10:wrap type="none"/>
                </v:shape>
                <v:shape style="position:absolute;left:7307;top:-1151;width:2419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dreignier@fennemorelaw.com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DAVID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REIGNIER</w:t>
      </w:r>
    </w:p>
    <w:p>
      <w:pPr>
        <w:pStyle w:val="BodyText"/>
        <w:spacing w:line="297" w:lineRule="auto" w:before="147"/>
        <w:ind w:left="99" w:right="333"/>
      </w:pPr>
      <w:r>
        <w:rPr>
          <w:color w:val="6E6158"/>
        </w:rPr>
        <w:t>David Reignier is a California business and estate planning attorney at Fennemore, representing</w:t>
      </w:r>
      <w:r>
        <w:rPr>
          <w:color w:val="6E6158"/>
          <w:spacing w:val="40"/>
        </w:rPr>
        <w:t> </w:t>
      </w:r>
      <w:r>
        <w:rPr>
          <w:color w:val="6E6158"/>
        </w:rPr>
        <w:t>business owners, entrepreneurs, and families throughout the Bay Area on legal strategy, business</w:t>
      </w:r>
      <w:r>
        <w:rPr>
          <w:color w:val="6E6158"/>
          <w:spacing w:val="40"/>
        </w:rPr>
        <w:t> </w:t>
      </w:r>
      <w:r>
        <w:rPr>
          <w:color w:val="6E6158"/>
        </w:rPr>
        <w:t>operations, succession planning, and wealth transition. Based in Northern California and raised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Vallejo, he brings a strong local perspective and a practical understanding of the legal needs facing closely held businesses and individuals.</w:t>
      </w:r>
    </w:p>
    <w:p>
      <w:pPr>
        <w:pStyle w:val="BodyText"/>
        <w:spacing w:line="292" w:lineRule="auto" w:before="191"/>
        <w:ind w:left="99" w:right="420"/>
      </w:pPr>
      <w:r>
        <w:rPr>
          <w:color w:val="6E6158"/>
        </w:rPr>
        <w:t>David advises clients on business formation, entity selection, corporate governance, and</w:t>
      </w:r>
      <w:r>
        <w:rPr>
          <w:color w:val="6E6158"/>
          <w:spacing w:val="40"/>
        </w:rPr>
        <w:t> </w:t>
      </w:r>
      <w:r>
        <w:rPr>
          <w:color w:val="6E6158"/>
        </w:rPr>
        <w:t>ongoing compliance, as well as real estate and real property agreements. He also assists with</w:t>
      </w:r>
      <w:r>
        <w:rPr>
          <w:color w:val="6E6158"/>
          <w:spacing w:val="40"/>
        </w:rPr>
        <w:t> </w:t>
      </w:r>
      <w:r>
        <w:rPr>
          <w:color w:val="6E6158"/>
        </w:rPr>
        <w:t>wealth</w:t>
      </w:r>
      <w:r>
        <w:rPr>
          <w:color w:val="6E6158"/>
          <w:spacing w:val="40"/>
        </w:rPr>
        <w:t> </w:t>
      </w:r>
      <w:r>
        <w:rPr>
          <w:color w:val="6E6158"/>
        </w:rPr>
        <w:t>transfer</w:t>
      </w:r>
      <w:r>
        <w:rPr>
          <w:color w:val="6E6158"/>
          <w:spacing w:val="40"/>
        </w:rPr>
        <w:t> </w:t>
      </w:r>
      <w:r>
        <w:rPr>
          <w:color w:val="6E6158"/>
        </w:rPr>
        <w:t>through</w:t>
      </w:r>
      <w:r>
        <w:rPr>
          <w:color w:val="6E6158"/>
          <w:spacing w:val="40"/>
        </w:rPr>
        <w:t> </w:t>
      </w:r>
      <w:r>
        <w:rPr>
          <w:color w:val="6E6158"/>
        </w:rPr>
        <w:t>comprehensive</w:t>
      </w:r>
      <w:r>
        <w:rPr>
          <w:color w:val="6E6158"/>
          <w:spacing w:val="40"/>
        </w:rPr>
        <w:t> </w:t>
      </w:r>
      <w:r>
        <w:rPr>
          <w:color w:val="6E6158"/>
        </w:rPr>
        <w:t>estate</w:t>
      </w:r>
      <w:r>
        <w:rPr>
          <w:color w:val="6E6158"/>
          <w:spacing w:val="40"/>
        </w:rPr>
        <w:t> </w:t>
      </w:r>
      <w:r>
        <w:rPr>
          <w:color w:val="6E6158"/>
        </w:rPr>
        <w:t>planning,</w:t>
      </w:r>
      <w:r>
        <w:rPr>
          <w:color w:val="6E6158"/>
          <w:spacing w:val="40"/>
        </w:rPr>
        <w:t> </w:t>
      </w:r>
      <w:r>
        <w:rPr>
          <w:color w:val="6E6158"/>
        </w:rPr>
        <w:t>trust</w:t>
      </w:r>
      <w:r>
        <w:rPr>
          <w:color w:val="6E6158"/>
          <w:spacing w:val="40"/>
        </w:rPr>
        <w:t> </w:t>
      </w:r>
      <w:r>
        <w:rPr>
          <w:color w:val="6E6158"/>
        </w:rPr>
        <w:t>creation,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succession</w:t>
      </w:r>
    </w:p>
    <w:p>
      <w:pPr>
        <w:pStyle w:val="BodyText"/>
        <w:spacing w:line="292" w:lineRule="auto" w:before="10"/>
        <w:ind w:left="99"/>
      </w:pPr>
      <w:r>
        <w:rPr>
          <w:color w:val="6E6158"/>
        </w:rPr>
        <w:t>strategies. His practice focuses on helping clients manage risk, maintain compliance, and </w:t>
      </w:r>
      <w:r>
        <w:rPr>
          <w:color w:val="6E6158"/>
        </w:rPr>
        <w:t>build</w:t>
      </w:r>
      <w:r>
        <w:rPr>
          <w:color w:val="6E6158"/>
          <w:spacing w:val="40"/>
        </w:rPr>
        <w:t> </w:t>
      </w:r>
      <w:r>
        <w:rPr>
          <w:color w:val="6E6158"/>
        </w:rPr>
        <w:t>sustainable plans for growth and succession.</w:t>
      </w:r>
    </w:p>
    <w:p>
      <w:pPr>
        <w:pStyle w:val="BodyText"/>
        <w:spacing w:line="295" w:lineRule="auto" w:before="197"/>
        <w:ind w:left="99" w:right="333"/>
      </w:pPr>
      <w:r>
        <w:rPr>
          <w:color w:val="6E6158"/>
        </w:rPr>
        <w:t>Working with clients at all stages—from startup formation to established operations—David</w:t>
      </w:r>
      <w:r>
        <w:rPr>
          <w:color w:val="6E6158"/>
          <w:spacing w:val="40"/>
        </w:rPr>
        <w:t> </w:t>
      </w:r>
      <w:r>
        <w:rPr>
          <w:color w:val="6E6158"/>
        </w:rPr>
        <w:t>provides</w:t>
      </w:r>
      <w:r>
        <w:rPr>
          <w:color w:val="6E6158"/>
          <w:spacing w:val="31"/>
        </w:rPr>
        <w:t> </w:t>
      </w:r>
      <w:r>
        <w:rPr>
          <w:color w:val="6E6158"/>
        </w:rPr>
        <w:t>guidance</w:t>
      </w:r>
      <w:r>
        <w:rPr>
          <w:color w:val="6E6158"/>
          <w:spacing w:val="31"/>
        </w:rPr>
        <w:t> </w:t>
      </w:r>
      <w:r>
        <w:rPr>
          <w:color w:val="6E6158"/>
        </w:rPr>
        <w:t>tailored</w:t>
      </w:r>
      <w:r>
        <w:rPr>
          <w:color w:val="6E6158"/>
          <w:spacing w:val="31"/>
        </w:rPr>
        <w:t> </w:t>
      </w:r>
      <w:r>
        <w:rPr>
          <w:color w:val="6E6158"/>
        </w:rPr>
        <w:t>to</w:t>
      </w:r>
      <w:r>
        <w:rPr>
          <w:color w:val="6E6158"/>
          <w:spacing w:val="31"/>
        </w:rPr>
        <w:t> </w:t>
      </w:r>
      <w:r>
        <w:rPr>
          <w:color w:val="6E6158"/>
        </w:rPr>
        <w:t>each</w:t>
      </w:r>
      <w:r>
        <w:rPr>
          <w:color w:val="6E6158"/>
          <w:spacing w:val="31"/>
        </w:rPr>
        <w:t> </w:t>
      </w:r>
      <w:r>
        <w:rPr>
          <w:color w:val="6E6158"/>
        </w:rPr>
        <w:t>phase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business</w:t>
      </w:r>
      <w:r>
        <w:rPr>
          <w:color w:val="6E6158"/>
          <w:spacing w:val="31"/>
        </w:rPr>
        <w:t> </w:t>
      </w:r>
      <w:r>
        <w:rPr>
          <w:color w:val="6E6158"/>
        </w:rPr>
        <w:t>lifecycle.</w:t>
      </w:r>
      <w:r>
        <w:rPr>
          <w:color w:val="6E6158"/>
          <w:spacing w:val="31"/>
        </w:rPr>
        <w:t> </w:t>
      </w:r>
      <w:r>
        <w:rPr>
          <w:color w:val="6E6158"/>
        </w:rPr>
        <w:t>He</w:t>
      </w:r>
      <w:r>
        <w:rPr>
          <w:color w:val="6E6158"/>
          <w:spacing w:val="31"/>
        </w:rPr>
        <w:t> </w:t>
      </w:r>
      <w:r>
        <w:rPr>
          <w:color w:val="6E6158"/>
        </w:rPr>
        <w:t>regularly</w:t>
      </w:r>
      <w:r>
        <w:rPr>
          <w:color w:val="6E6158"/>
          <w:spacing w:val="31"/>
        </w:rPr>
        <w:t> </w:t>
      </w:r>
      <w:r>
        <w:rPr>
          <w:color w:val="6E6158"/>
        </w:rPr>
        <w:t>counsels business owners across the Bay Area on structuring operations, navigating legal obligations,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integrating business and estate planning goals.</w:t>
      </w:r>
    </w:p>
    <w:p>
      <w:pPr>
        <w:pStyle w:val="BodyText"/>
        <w:spacing w:line="297" w:lineRule="auto" w:before="196"/>
        <w:ind w:left="99" w:right="420"/>
      </w:pPr>
      <w:r>
        <w:rPr>
          <w:color w:val="6E6158"/>
        </w:rPr>
        <w:t>Before joining Fennemore, David practiced at a boutique estate planning firm in Napa,</w:t>
      </w:r>
      <w:r>
        <w:rPr>
          <w:color w:val="6E6158"/>
          <w:spacing w:val="40"/>
        </w:rPr>
        <w:t> </w:t>
      </w:r>
      <w:r>
        <w:rPr>
          <w:color w:val="6E6158"/>
        </w:rPr>
        <w:t>California, where he handled a range of business and estate planning matters for </w:t>
      </w:r>
      <w:r>
        <w:rPr>
          <w:color w:val="6E6158"/>
        </w:rPr>
        <w:t>individuals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families</w:t>
      </w:r>
      <w:r>
        <w:rPr>
          <w:color w:val="6E6158"/>
          <w:spacing w:val="26"/>
        </w:rPr>
        <w:t> </w:t>
      </w:r>
      <w:r>
        <w:rPr>
          <w:color w:val="6E6158"/>
        </w:rPr>
        <w:t>throughout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region.</w:t>
      </w:r>
      <w:r>
        <w:rPr>
          <w:color w:val="6E6158"/>
          <w:spacing w:val="26"/>
        </w:rPr>
        <w:t> </w:t>
      </w:r>
      <w:r>
        <w:rPr>
          <w:color w:val="6E6158"/>
        </w:rPr>
        <w:t>David</w:t>
      </w:r>
      <w:r>
        <w:rPr>
          <w:color w:val="6E6158"/>
          <w:spacing w:val="26"/>
        </w:rPr>
        <w:t> </w:t>
      </w:r>
      <w:r>
        <w:rPr>
          <w:color w:val="6E6158"/>
        </w:rPr>
        <w:t>earned</w:t>
      </w:r>
      <w:r>
        <w:rPr>
          <w:color w:val="6E6158"/>
          <w:spacing w:val="26"/>
        </w:rPr>
        <w:t> </w:t>
      </w:r>
      <w:r>
        <w:rPr>
          <w:color w:val="6E6158"/>
        </w:rPr>
        <w:t>his</w:t>
      </w:r>
      <w:r>
        <w:rPr>
          <w:color w:val="6E6158"/>
          <w:spacing w:val="26"/>
        </w:rPr>
        <w:t> </w:t>
      </w:r>
      <w:r>
        <w:rPr>
          <w:color w:val="6E6158"/>
        </w:rPr>
        <w:t>Juris</w:t>
      </w:r>
      <w:r>
        <w:rPr>
          <w:color w:val="6E6158"/>
          <w:spacing w:val="26"/>
        </w:rPr>
        <w:t> </w:t>
      </w:r>
      <w:r>
        <w:rPr>
          <w:color w:val="6E6158"/>
        </w:rPr>
        <w:t>Doctor</w:t>
      </w:r>
      <w:r>
        <w:rPr>
          <w:color w:val="6E6158"/>
          <w:spacing w:val="26"/>
        </w:rPr>
        <w:t> </w:t>
      </w:r>
      <w:r>
        <w:rPr>
          <w:color w:val="6E6158"/>
        </w:rPr>
        <w:t>from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University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San</w:t>
      </w:r>
    </w:p>
    <w:p>
      <w:pPr>
        <w:pStyle w:val="BodyText"/>
        <w:spacing w:line="297" w:lineRule="auto"/>
        <w:ind w:left="99" w:right="333"/>
      </w:pPr>
      <w:r>
        <w:rPr>
          <w:color w:val="6E6158"/>
        </w:rPr>
        <w:t>Francisco, School of Law, and is admitted to the State Bar of California. During law school, he</w:t>
      </w:r>
      <w:r>
        <w:rPr>
          <w:color w:val="6E6158"/>
          <w:spacing w:val="40"/>
        </w:rPr>
        <w:t> </w:t>
      </w:r>
      <w:r>
        <w:rPr>
          <w:color w:val="6E6158"/>
        </w:rPr>
        <w:t>served as a law clerk to the Honorable Daniel J. Healy of the Solano County Superior Court,</w:t>
      </w:r>
      <w:r>
        <w:rPr>
          <w:color w:val="6E6158"/>
          <w:spacing w:val="40"/>
        </w:rPr>
        <w:t> </w:t>
      </w:r>
      <w:r>
        <w:rPr>
          <w:color w:val="6E6158"/>
        </w:rPr>
        <w:t>where</w:t>
      </w:r>
      <w:r>
        <w:rPr>
          <w:color w:val="6E6158"/>
          <w:spacing w:val="40"/>
        </w:rPr>
        <w:t> </w:t>
      </w:r>
      <w:r>
        <w:rPr>
          <w:color w:val="6E6158"/>
        </w:rPr>
        <w:t>he</w:t>
      </w:r>
      <w:r>
        <w:rPr>
          <w:color w:val="6E6158"/>
          <w:spacing w:val="40"/>
        </w:rPr>
        <w:t> </w:t>
      </w:r>
      <w:r>
        <w:rPr>
          <w:color w:val="6E6158"/>
        </w:rPr>
        <w:t>gained</w:t>
      </w:r>
      <w:r>
        <w:rPr>
          <w:color w:val="6E6158"/>
          <w:spacing w:val="40"/>
        </w:rPr>
        <w:t> </w:t>
      </w:r>
      <w:r>
        <w:rPr>
          <w:color w:val="6E6158"/>
        </w:rPr>
        <w:t>experience</w:t>
      </w:r>
      <w:r>
        <w:rPr>
          <w:color w:val="6E6158"/>
          <w:spacing w:val="40"/>
        </w:rPr>
        <w:t>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courtroom</w:t>
      </w:r>
      <w:r>
        <w:rPr>
          <w:color w:val="6E6158"/>
          <w:spacing w:val="40"/>
        </w:rPr>
        <w:t> </w:t>
      </w:r>
      <w:r>
        <w:rPr>
          <w:color w:val="6E6158"/>
        </w:rPr>
        <w:t>proceedings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judicial</w:t>
      </w:r>
      <w:r>
        <w:rPr>
          <w:color w:val="6E6158"/>
          <w:spacing w:val="40"/>
        </w:rPr>
        <w:t> </w:t>
      </w:r>
      <w:r>
        <w:rPr>
          <w:color w:val="6E6158"/>
        </w:rPr>
        <w:t>decision-making.</w:t>
      </w:r>
    </w:p>
    <w:p>
      <w:pPr>
        <w:pStyle w:val="BodyText"/>
        <w:spacing w:line="295" w:lineRule="auto" w:before="188"/>
        <w:ind w:left="99" w:right="333"/>
      </w:pPr>
      <w:r>
        <w:rPr>
          <w:color w:val="6E6158"/>
        </w:rPr>
        <w:t>In addition to his legal practice, David has served as Chief Executive Officer of the D’Lonier</w:t>
      </w:r>
      <w:r>
        <w:rPr>
          <w:color w:val="6E6158"/>
          <w:spacing w:val="40"/>
        </w:rPr>
        <w:t> </w:t>
      </w:r>
      <w:r>
        <w:rPr>
          <w:color w:val="6E6158"/>
        </w:rPr>
        <w:t>Foundation since 2009, a nonprofit organization dedicated to advancing public education.</w:t>
      </w:r>
      <w:r>
        <w:rPr>
          <w:color w:val="6E6158"/>
          <w:spacing w:val="40"/>
        </w:rPr>
        <w:t> </w:t>
      </w:r>
      <w:r>
        <w:rPr>
          <w:color w:val="6E6158"/>
        </w:rPr>
        <w:t>Under his leadership, the foundation has supported international education initiatives, </w:t>
      </w:r>
      <w:r>
        <w:rPr>
          <w:color w:val="6E6158"/>
        </w:rPr>
        <w:t>funded</w:t>
      </w:r>
      <w:r>
        <w:rPr>
          <w:color w:val="6E6158"/>
          <w:spacing w:val="40"/>
        </w:rPr>
        <w:t> </w:t>
      </w:r>
      <w:r>
        <w:rPr>
          <w:color w:val="6E6158"/>
        </w:rPr>
        <w:t>scholarships,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established</w:t>
      </w:r>
      <w:r>
        <w:rPr>
          <w:color w:val="6E6158"/>
          <w:spacing w:val="40"/>
        </w:rPr>
        <w:t> </w:t>
      </w:r>
      <w:r>
        <w:rPr>
          <w:color w:val="6E6158"/>
        </w:rPr>
        <w:t>a</w:t>
      </w:r>
      <w:r>
        <w:rPr>
          <w:color w:val="6E6158"/>
          <w:spacing w:val="40"/>
        </w:rPr>
        <w:t> </w:t>
      </w:r>
      <w:r>
        <w:rPr>
          <w:color w:val="6E6158"/>
        </w:rPr>
        <w:t>university</w:t>
      </w:r>
      <w:r>
        <w:rPr>
          <w:color w:val="6E6158"/>
          <w:spacing w:val="40"/>
        </w:rPr>
        <w:t> </w:t>
      </w:r>
      <w:r>
        <w:rPr>
          <w:color w:val="6E6158"/>
        </w:rPr>
        <w:t>endowment</w:t>
      </w:r>
      <w:r>
        <w:rPr>
          <w:color w:val="6E6158"/>
          <w:spacing w:val="40"/>
        </w:rPr>
        <w:t> </w:t>
      </w:r>
      <w:r>
        <w:rPr>
          <w:color w:val="6E6158"/>
        </w:rPr>
        <w:t>for</w:t>
      </w:r>
      <w:r>
        <w:rPr>
          <w:color w:val="6E6158"/>
          <w:spacing w:val="40"/>
        </w:rPr>
        <w:t> </w:t>
      </w:r>
      <w:r>
        <w:rPr>
          <w:color w:val="6E6158"/>
        </w:rPr>
        <w:t>study-abroad</w:t>
      </w:r>
      <w:r>
        <w:rPr>
          <w:color w:val="6E6158"/>
          <w:spacing w:val="40"/>
        </w:rPr>
        <w:t> </w:t>
      </w:r>
      <w:r>
        <w:rPr>
          <w:color w:val="6E6158"/>
        </w:rPr>
        <w:t>programs.</w:t>
      </w:r>
    </w:p>
    <w:p>
      <w:pPr>
        <w:pStyle w:val="BodyText"/>
        <w:spacing w:line="292" w:lineRule="auto" w:before="196"/>
        <w:ind w:left="99" w:right="925"/>
        <w:jc w:val="both"/>
      </w:pPr>
      <w:r>
        <w:rPr>
          <w:color w:val="6E6158"/>
        </w:rPr>
        <w:t>David remains actively involved in the local community through mentorship and </w:t>
      </w:r>
      <w:r>
        <w:rPr>
          <w:color w:val="6E6158"/>
        </w:rPr>
        <w:t>service, including work with the Jesse Bethel High School Law Academy in Vallejo, the American Foundation for Suicide Prevention, and the Rotary Club of Benicia.</w:t>
      </w:r>
    </w:p>
    <w:p>
      <w:pPr>
        <w:pStyle w:val="Heading1"/>
        <w:spacing w:before="172"/>
      </w:pPr>
      <w:r>
        <w:rPr>
          <w:color w:val="FF8100"/>
          <w:spacing w:val="-2"/>
        </w:rPr>
        <w:t>EDUCATION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420" w:lineRule="auto" w:before="83"/>
        <w:ind w:left="351" w:right="43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29152" id="docshape11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375967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9.603758pt;width:1.65pt;height:1.65pt;mso-position-horizontal-relative:page;mso-position-vertical-relative:paragraph;z-index:15729664" id="docshape12" coordorigin="1670,592" coordsize="33,33" path="m1691,625l1682,625,1678,623,1671,617,1670,613,1670,604,1671,600,1678,594,1682,592,1691,592,1694,594,1701,600,1702,604,1702,608,1702,613,1701,617,1694,623,1691,6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San Francisco, School of </w:t>
      </w:r>
      <w:r>
        <w:rPr>
          <w:color w:val="6E6158"/>
        </w:rPr>
        <w:t>Law</w:t>
      </w:r>
      <w:r>
        <w:rPr>
          <w:color w:val="6E6158"/>
        </w:rPr>
        <w:t> M.A., Northeastern University</w:t>
      </w:r>
    </w:p>
    <w:p>
      <w:pPr>
        <w:pStyle w:val="BodyText"/>
        <w:spacing w:line="420" w:lineRule="auto" w:before="7"/>
        <w:ind w:left="351" w:right="59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63888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0587pt;width:1.65pt;height:1.65pt;mso-position-horizontal-relative:page;mso-position-vertical-relative:paragraph;z-index:15730176" id="docshape13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322254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74336pt;width:1.65pt;height:1.65pt;mso-position-horizontal-relative:page;mso-position-vertical-relative:paragraph;z-index:15730688" id="docshape14" coordorigin="1670,507" coordsize="33,33" path="m1691,540l1682,540,1678,538,1671,532,1670,528,1670,519,1671,515,1678,509,1682,507,1691,507,1694,509,1701,515,1702,519,1702,524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Study Abroad, The Politics of Global Conflict Resolution, Université de Genève – Uni </w:t>
      </w:r>
      <w:r>
        <w:rPr>
          <w:color w:val="6E6158"/>
        </w:rPr>
        <w:t>Mail B.A., University of California, Davis</w:t>
      </w:r>
    </w:p>
    <w:p>
      <w:pPr>
        <w:pStyle w:val="Heading1"/>
        <w:spacing w:before="282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0" w:lineRule="auto"/>
        <w:ind w:left="351" w:right="685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64839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105462pt;width:1.65pt;height:1.65pt;mso-position-horizontal-relative:page;mso-position-vertical-relative:paragraph;z-index:15731200" id="docshape15" coordorigin="1670,102" coordsize="33,33" path="m1691,135l1682,135,1678,133,1671,127,1670,123,1670,114,1671,110,1678,104,1682,102,1691,102,1694,104,1701,110,1702,114,1702,118,1702,123,1701,127,1694,133,1691,1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323205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49213pt;width:1.65pt;height:1.65pt;mso-position-horizontal-relative:page;mso-position-vertical-relative:paragraph;z-index:15731712" id="docshape16" coordorigin="1670,509" coordsize="33,33" path="m1691,542l1682,542,1678,540,1671,534,1670,530,1670,521,1671,517,1678,511,1682,509,1691,509,1694,511,1701,517,1702,521,1702,525,1702,530,1701,534,1694,540,1691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&amp; </w:t>
      </w:r>
      <w:r>
        <w:rPr>
          <w:color w:val="6E6158"/>
        </w:rPr>
        <w:t>Finance Trusts &amp; Estates</w:t>
      </w:r>
    </w:p>
    <w:p>
      <w:pPr>
        <w:pStyle w:val="Heading1"/>
        <w:spacing w:before="290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59354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673578pt;width:1.65pt;height:1.65pt;mso-position-horizontal-relative:page;mso-position-vertical-relative:paragraph;z-index:15732224" id="docshape17" coordorigin="1670,93" coordsize="33,33" path="m1691,126l1682,126,1678,124,1671,118,1670,114,1670,105,1671,101,1678,95,1682,93,1691,93,1694,95,1701,101,1702,105,1702,110,1702,114,1701,118,1694,124,1691,12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Assisted</w:t>
      </w:r>
      <w:r>
        <w:rPr>
          <w:color w:val="6E6158"/>
          <w:spacing w:val="10"/>
        </w:rPr>
        <w:t> </w:t>
      </w:r>
      <w:r>
        <w:rPr>
          <w:color w:val="6E6158"/>
        </w:rPr>
        <w:t>in</w:t>
      </w:r>
      <w:r>
        <w:rPr>
          <w:color w:val="6E6158"/>
          <w:spacing w:val="10"/>
        </w:rPr>
        <w:t> </w:t>
      </w:r>
      <w:r>
        <w:rPr>
          <w:color w:val="6E6158"/>
        </w:rPr>
        <w:t>Seller</w:t>
      </w:r>
      <w:r>
        <w:rPr>
          <w:color w:val="6E6158"/>
          <w:spacing w:val="10"/>
        </w:rPr>
        <w:t> </w:t>
      </w:r>
      <w:r>
        <w:rPr>
          <w:color w:val="6E6158"/>
        </w:rPr>
        <w:t>representation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10"/>
        </w:rPr>
        <w:t> </w:t>
      </w:r>
      <w:r>
        <w:rPr>
          <w:color w:val="6E6158"/>
        </w:rPr>
        <w:t>$30</w:t>
      </w:r>
      <w:r>
        <w:rPr>
          <w:color w:val="6E6158"/>
          <w:spacing w:val="10"/>
        </w:rPr>
        <w:t> </w:t>
      </w:r>
      <w:r>
        <w:rPr>
          <w:color w:val="6E6158"/>
        </w:rPr>
        <w:t>million</w:t>
      </w:r>
      <w:r>
        <w:rPr>
          <w:color w:val="6E6158"/>
          <w:spacing w:val="11"/>
        </w:rPr>
        <w:t> </w:t>
      </w:r>
      <w:r>
        <w:rPr>
          <w:color w:val="6E6158"/>
        </w:rPr>
        <w:t>acquisition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company.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292" w:lineRule="auto"/>
        <w:ind w:left="351" w:right="33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152755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27981pt;width:1.65pt;height:1.65pt;mso-position-horizontal-relative:page;mso-position-vertical-relative:paragraph;z-index:15732736" id="docshape18" coordorigin="1670,241" coordsize="33,33" path="m1691,273l1682,273,1678,272,1671,265,1670,261,1670,252,1671,249,1678,242,1682,241,1691,241,1694,242,1701,249,1702,252,1702,257,1702,261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Departmental Citation for academic excellence in Political Science, University of </w:t>
      </w:r>
      <w:r>
        <w:rPr>
          <w:color w:val="6E6158"/>
        </w:rPr>
        <w:t>California,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Davis</w:t>
      </w:r>
    </w:p>
    <w:p>
      <w:pPr>
        <w:pStyle w:val="BodyText"/>
        <w:spacing w:before="121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17"/>
        <w:rPr>
          <w:b/>
        </w:rPr>
      </w:pPr>
    </w:p>
    <w:p>
      <w:pPr>
        <w:pStyle w:val="BodyText"/>
        <w:spacing w:line="288" w:lineRule="auto"/>
        <w:ind w:left="351" w:right="27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159174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533408pt;width:1.65pt;height:1.65pt;mso-position-horizontal-relative:page;mso-position-vertical-relative:paragraph;z-index:15733248" id="docshape19" coordorigin="1670,251" coordsize="33,33" path="m1691,283l1682,283,1678,282,1671,275,1670,271,1670,262,1671,259,1678,252,1682,251,1691,251,1694,252,1701,259,1702,262,1702,267,1702,271,1701,275,1694,282,1691,28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</w:t>
      </w:r>
      <w:r>
        <w:rPr>
          <w:i/>
          <w:color w:val="6E6158"/>
          <w:sz w:val="20"/>
        </w:rPr>
        <w:t>” </w:t>
      </w:r>
      <w:r>
        <w:rPr>
          <w:color w:val="6E6158"/>
        </w:rPr>
        <w:t>The Use of Blockchain Technology and Artificial Intelligence as a Mechanism to Prevent</w:t>
      </w:r>
      <w:r>
        <w:rPr>
          <w:color w:val="6E6158"/>
          <w:spacing w:val="18"/>
        </w:rPr>
        <w:t> </w:t>
      </w:r>
      <w:r>
        <w:rPr>
          <w:color w:val="6E6158"/>
        </w:rPr>
        <w:t>Corporate</w:t>
      </w:r>
      <w:r>
        <w:rPr>
          <w:color w:val="6E6158"/>
          <w:spacing w:val="18"/>
        </w:rPr>
        <w:t> </w:t>
      </w:r>
      <w:r>
        <w:rPr>
          <w:color w:val="6E6158"/>
        </w:rPr>
        <w:t>Fraud,”</w:t>
      </w:r>
      <w:r>
        <w:rPr>
          <w:color w:val="6E6158"/>
          <w:spacing w:val="18"/>
        </w:rPr>
        <w:t> </w:t>
      </w:r>
      <w:r>
        <w:rPr>
          <w:color w:val="6E6158"/>
        </w:rPr>
        <w:t>Blockchain</w:t>
      </w:r>
      <w:r>
        <w:rPr>
          <w:color w:val="6E6158"/>
          <w:spacing w:val="18"/>
        </w:rPr>
        <w:t> </w:t>
      </w:r>
      <w:r>
        <w:rPr>
          <w:color w:val="6E6158"/>
        </w:rPr>
        <w:t>Symposium,</w:t>
      </w:r>
      <w:r>
        <w:rPr>
          <w:color w:val="6E6158"/>
          <w:spacing w:val="18"/>
        </w:rPr>
        <w:t> </w:t>
      </w:r>
      <w:r>
        <w:rPr>
          <w:color w:val="6E6158"/>
        </w:rPr>
        <w:t>University</w:t>
      </w:r>
      <w:r>
        <w:rPr>
          <w:color w:val="6E6158"/>
          <w:spacing w:val="18"/>
        </w:rPr>
        <w:t> </w:t>
      </w:r>
      <w:r>
        <w:rPr>
          <w:color w:val="6E6158"/>
        </w:rPr>
        <w:t>of</w:t>
      </w:r>
      <w:r>
        <w:rPr>
          <w:color w:val="6E6158"/>
          <w:spacing w:val="18"/>
        </w:rPr>
        <w:t> </w:t>
      </w:r>
      <w:r>
        <w:rPr>
          <w:color w:val="6E6158"/>
        </w:rPr>
        <w:t>San</w:t>
      </w:r>
      <w:r>
        <w:rPr>
          <w:color w:val="6E6158"/>
          <w:spacing w:val="18"/>
        </w:rPr>
        <w:t> </w:t>
      </w:r>
      <w:r>
        <w:rPr>
          <w:color w:val="6E6158"/>
        </w:rPr>
        <w:t>Francisco,</w:t>
      </w:r>
      <w:r>
        <w:rPr>
          <w:color w:val="6E6158"/>
          <w:spacing w:val="18"/>
        </w:rPr>
        <w:t> </w:t>
      </w:r>
      <w:r>
        <w:rPr>
          <w:color w:val="6E6158"/>
        </w:rPr>
        <w:t>School</w:t>
      </w:r>
      <w:r>
        <w:rPr>
          <w:color w:val="6E6158"/>
          <w:spacing w:val="18"/>
        </w:rPr>
        <w:t> </w:t>
      </w:r>
      <w:r>
        <w:rPr>
          <w:color w:val="6E6158"/>
        </w:rPr>
        <w:t>of</w:t>
      </w:r>
      <w:r>
        <w:rPr>
          <w:color w:val="6E6158"/>
          <w:spacing w:val="18"/>
        </w:rPr>
        <w:t> </w:t>
      </w:r>
      <w:r>
        <w:rPr>
          <w:color w:val="6E6158"/>
        </w:rPr>
        <w:t>Law</w:t>
      </w:r>
    </w:p>
    <w:p>
      <w:pPr>
        <w:pStyle w:val="BodyText"/>
        <w:spacing w:before="117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27" w:lineRule="auto"/>
        <w:ind w:left="351" w:right="43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64712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95465pt;width:1.65pt;height:1.65pt;mso-position-horizontal-relative:page;mso-position-vertical-relative:paragraph;z-index:15733760" id="docshape20" coordorigin="1670,102" coordsize="33,33" path="m1691,134l1682,134,1678,133,1671,127,1670,123,1670,114,1671,110,1678,103,1682,102,1691,102,1694,103,1701,110,1702,114,1702,118,1702,123,1701,127,1694,133,1691,1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323077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39209pt;width:1.65pt;height:1.65pt;mso-position-horizontal-relative:page;mso-position-vertical-relative:paragraph;z-index:15734272" id="docshape21" coordorigin="1670,509" coordsize="33,33" path="m1691,541l1682,541,1678,540,1671,533,1670,530,1670,521,1671,517,1678,510,1682,509,1691,509,1694,510,1701,517,1702,521,1702,525,1702,530,1701,533,1694,540,1691,54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Chief Executive Officer, D’Lonier Foundation Mentor, Jesse Bethel High School Law </w:t>
      </w:r>
      <w:r>
        <w:rPr>
          <w:color w:val="6E6158"/>
        </w:rPr>
        <w:t>Academy</w:t>
      </w:r>
    </w:p>
    <w:p>
      <w:pPr>
        <w:pStyle w:val="BodyText"/>
        <w:spacing w:line="420" w:lineRule="auto"/>
        <w:ind w:left="351" w:right="313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59994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23969pt;width:1.65pt;height:1.65pt;mso-position-horizontal-relative:page;mso-position-vertical-relative:paragraph;z-index:15734784" id="docshape22" coordorigin="1670,94" coordsize="33,33" path="m1691,127l1682,127,1678,125,1671,119,1670,115,1670,106,1671,102,1678,96,1682,94,1691,94,1694,96,1701,102,1702,106,1702,111,1702,115,1701,119,1694,125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318360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067736pt;width:1.65pt;height:1.65pt;mso-position-horizontal-relative:page;mso-position-vertical-relative:paragraph;z-index:15735296" id="docshape23" coordorigin="1670,501" coordsize="33,33" path="m1691,534l1682,534,1678,532,1671,526,1670,522,1670,513,1671,509,1678,503,1682,501,1691,501,1694,503,1701,509,1702,513,1702,518,1702,522,1701,526,1694,532,1691,5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Volunteer, American Foundation for Suicide </w:t>
      </w:r>
      <w:r>
        <w:rPr>
          <w:color w:val="6E6158"/>
        </w:rPr>
        <w:t>Prevention Member, Rotary Club of Benicia</w:t>
      </w:r>
    </w:p>
    <w:p>
      <w:pPr>
        <w:pStyle w:val="BodyText"/>
        <w:spacing w:line="231" w:lineRule="exac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58985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644512pt;width:1.65pt;height:1.65pt;mso-position-horizontal-relative:page;mso-position-vertical-relative:paragraph;z-index:15735808" id="docshape24" coordorigin="1670,93" coordsize="33,33" path="m1691,125l1682,125,1678,124,1671,117,1670,114,1670,105,1671,101,1678,94,1682,93,1691,93,1694,94,1701,101,1702,105,1702,109,1702,114,1701,117,1694,124,1691,1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4"/>
        </w:rPr>
        <w:t> </w:t>
      </w:r>
      <w:r>
        <w:rPr>
          <w:color w:val="6E6158"/>
        </w:rPr>
        <w:t>State</w:t>
      </w:r>
      <w:r>
        <w:rPr>
          <w:color w:val="6E6158"/>
          <w:spacing w:val="5"/>
        </w:rPr>
        <w:t> </w:t>
      </w:r>
      <w:r>
        <w:rPr>
          <w:color w:val="6E6158"/>
        </w:rPr>
        <w:t>Bar</w:t>
      </w:r>
      <w:r>
        <w:rPr>
          <w:color w:val="6E6158"/>
          <w:spacing w:val="5"/>
        </w:rPr>
        <w:t> </w:t>
      </w:r>
      <w:r>
        <w:rPr>
          <w:color w:val="6E6158"/>
        </w:rPr>
        <w:t>of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64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59749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04706pt;width:1.65pt;height:1.65pt;mso-position-horizontal-relative:page;mso-position-vertical-relative:paragraph;z-index:15736320" id="docshape25" coordorigin="1670,94" coordsize="33,33" path="m1691,127l1682,127,1678,125,1671,119,1670,115,1670,106,1671,102,1678,96,1682,94,1691,94,1694,96,1701,102,1702,106,1702,110,1702,115,1701,119,1694,125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</w:t>
      </w:r>
    </w:p>
    <w:p>
      <w:pPr>
        <w:pStyle w:val="BodyText"/>
        <w:rPr>
          <w:sz w:val="24"/>
        </w:rPr>
      </w:pPr>
    </w:p>
    <w:p>
      <w:pPr>
        <w:pStyle w:val="BodyText"/>
        <w:spacing w:before="154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LANGUAGES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65024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120004pt;width:1.65pt;height:1.65pt;mso-position-horizontal-relative:page;mso-position-vertical-relative:paragraph;z-index:15736832" id="docshape26" coordorigin="1670,102" coordsize="33,33" path="m1691,135l1682,135,1678,133,1671,127,1670,123,1670,114,1671,110,1678,104,1682,102,1691,102,1694,104,1701,110,1702,114,1702,119,1702,123,1701,127,1694,133,1691,1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Italian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vacaville/" TargetMode="External"/><Relationship Id="rId10" Type="http://schemas.openxmlformats.org/officeDocument/2006/relationships/hyperlink" Target="mailto:dreignier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Reignier - Fennemore</dc:title>
  <dcterms:created xsi:type="dcterms:W3CDTF">2026-06-01T12:57:48Z</dcterms:created>
  <dcterms:modified xsi:type="dcterms:W3CDTF">2026-06-01T12:57:48Z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2026-06-01T00:00:00Z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2026-06-01T00:00:00Z</vt:filetime>
  </property>
  <property fmtid="{D5CDD505-2E9C-101B-9397-08002B2CF9AE}" pid="6" name="Producer">
    <vt:lpwstr>Skia/PDF m148</vt:lpwstr>
  </property>
</Properties>
</file>