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2"/>
        <w:ind w:left="0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608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avid Sieck v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2669" y="763308"/>
                            <a:ext cx="149479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DAVID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SIECK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dsieck@fennemorelaw.com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68772" y="3482163"/>
                            <a:ext cx="335026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choose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decade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things,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easy,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because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hard.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Kennedy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23872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David Sieck v2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40;top:-5815;width:235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DAVID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SIECK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dsieck@fennemorelaw.com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91;top:-1533;width:5276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choose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decade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things,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 </w:t>
                        </w:r>
                        <w:r>
                          <w:rPr>
                            <w:color w:val="FFFFFF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easy,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because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hard.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John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Kennedy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DAVID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SIECK</w:t>
      </w:r>
    </w:p>
    <w:p>
      <w:pPr>
        <w:pStyle w:val="BodyText"/>
        <w:spacing w:line="297" w:lineRule="auto" w:before="146"/>
        <w:ind w:right="307"/>
      </w:pPr>
      <w:r>
        <w:rPr>
          <w:color w:val="6E6158"/>
        </w:rPr>
        <w:t>David Sieck is an Associate attorney in the firm’s Labor &amp; Employment and Employee</w:t>
      </w:r>
      <w:r>
        <w:rPr>
          <w:color w:val="6E6158"/>
          <w:spacing w:val="40"/>
        </w:rPr>
        <w:t> </w:t>
      </w:r>
      <w:r>
        <w:rPr>
          <w:color w:val="6E6158"/>
        </w:rPr>
        <w:t>Benefits/ERISA practice groups based in the Phoenix office. His practice encompasses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counseling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behalf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management</w:t>
      </w:r>
      <w:r>
        <w:rPr>
          <w:color w:val="6E6158"/>
          <w:spacing w:val="28"/>
        </w:rPr>
        <w:t> </w:t>
      </w:r>
      <w:r>
        <w:rPr>
          <w:color w:val="6E6158"/>
        </w:rPr>
        <w:t>across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broad</w:t>
      </w:r>
      <w:r>
        <w:rPr>
          <w:color w:val="6E6158"/>
          <w:spacing w:val="28"/>
        </w:rPr>
        <w:t> </w:t>
      </w:r>
      <w:r>
        <w:rPr>
          <w:color w:val="6E6158"/>
        </w:rPr>
        <w:t>range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labor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</w:pP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matters,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employee</w:t>
      </w:r>
      <w:r>
        <w:rPr>
          <w:color w:val="6E6158"/>
          <w:spacing w:val="14"/>
        </w:rPr>
        <w:t> </w:t>
      </w:r>
      <w:r>
        <w:rPr>
          <w:color w:val="6E6158"/>
        </w:rPr>
        <w:t>benefits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ERISA-related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1"/>
        <w:ind w:right="307"/>
      </w:pPr>
      <w:r>
        <w:rPr>
          <w:color w:val="6E6158"/>
        </w:rPr>
        <w:t>David’s employment practice focuses on litigation involving discrimination and retaliation </w:t>
      </w:r>
      <w:r>
        <w:rPr>
          <w:color w:val="6E6158"/>
        </w:rPr>
        <w:t>claims,</w:t>
      </w:r>
      <w:r>
        <w:rPr>
          <w:color w:val="6E6158"/>
          <w:spacing w:val="40"/>
        </w:rPr>
        <w:t> </w:t>
      </w:r>
      <w:r>
        <w:rPr>
          <w:color w:val="6E6158"/>
        </w:rPr>
        <w:t>disability accommodation matters, wage and hour disputes, and other claims arising under</w:t>
      </w:r>
      <w:r>
        <w:rPr>
          <w:color w:val="6E6158"/>
          <w:spacing w:val="40"/>
        </w:rPr>
        <w:t> </w:t>
      </w:r>
      <w:r>
        <w:rPr>
          <w:color w:val="6E6158"/>
        </w:rPr>
        <w:t>applicable federal, state, and local statutes. In addition to litigation, he regularly advises</w:t>
      </w:r>
      <w:r>
        <w:rPr>
          <w:color w:val="6E6158"/>
          <w:spacing w:val="80"/>
        </w:rPr>
        <w:t> </w:t>
      </w:r>
      <w:r>
        <w:rPr>
          <w:color w:val="6E6158"/>
        </w:rPr>
        <w:t>employers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implementation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workplace</w:t>
      </w:r>
      <w:r>
        <w:rPr>
          <w:color w:val="6E6158"/>
          <w:spacing w:val="40"/>
        </w:rPr>
        <w:t> </w:t>
      </w:r>
      <w:r>
        <w:rPr>
          <w:color w:val="6E6158"/>
        </w:rPr>
        <w:t>policies,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</w:p>
    <w:p>
      <w:pPr>
        <w:pStyle w:val="BodyText"/>
        <w:spacing w:line="292" w:lineRule="auto" w:before="10"/>
      </w:pPr>
      <w:r>
        <w:rPr>
          <w:color w:val="6E6158"/>
        </w:rPr>
        <w:t>handbooks, and employment agreements, with an emphasis on practical compliance and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mitigation.</w:t>
      </w:r>
    </w:p>
    <w:p>
      <w:pPr>
        <w:pStyle w:val="BodyText"/>
        <w:spacing w:line="292" w:lineRule="auto" w:before="197"/>
        <w:ind w:right="307"/>
      </w:pPr>
      <w:r>
        <w:rPr>
          <w:color w:val="6E6158"/>
        </w:rPr>
        <w:t>David also maintains a robust employee benefits practice. He represents employers, </w:t>
      </w:r>
      <w:r>
        <w:rPr>
          <w:color w:val="6E6158"/>
        </w:rPr>
        <w:t>plan sponsors,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fiduciaries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counseling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arising</w:t>
      </w:r>
      <w:r>
        <w:rPr>
          <w:color w:val="6E6158"/>
          <w:spacing w:val="30"/>
        </w:rPr>
        <w:t> </w:t>
      </w:r>
      <w:r>
        <w:rPr>
          <w:color w:val="6E6158"/>
        </w:rPr>
        <w:t>under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Employee</w:t>
      </w:r>
    </w:p>
    <w:p>
      <w:pPr>
        <w:pStyle w:val="BodyText"/>
        <w:spacing w:line="295" w:lineRule="auto" w:before="9"/>
        <w:ind w:right="307"/>
      </w:pPr>
      <w:r>
        <w:rPr>
          <w:color w:val="6E6158"/>
        </w:rPr>
        <w:t>Retirement Income Security Act of 1974, as amended (ERISA), the Internal Revenue Code, and</w:t>
      </w:r>
      <w:r>
        <w:rPr>
          <w:color w:val="6E6158"/>
          <w:spacing w:val="80"/>
        </w:rPr>
        <w:t> </w:t>
      </w:r>
      <w:r>
        <w:rPr>
          <w:color w:val="6E6158"/>
        </w:rPr>
        <w:t>the Multiemployer Pension Plan Amendments Act. In his counseling role, David advises clients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plan governance and administration, including regulatory compliance for qualified retirement</w:t>
      </w:r>
      <w:r>
        <w:rPr>
          <w:color w:val="6E6158"/>
          <w:spacing w:val="40"/>
        </w:rPr>
        <w:t> </w:t>
      </w:r>
      <w:r>
        <w:rPr>
          <w:color w:val="6E6158"/>
        </w:rPr>
        <w:t>plans and welfare benefit plans. He regularly works directly with plan fiduciaries and has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representing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before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Internal</w:t>
      </w:r>
      <w:r>
        <w:rPr>
          <w:color w:val="6E6158"/>
          <w:spacing w:val="35"/>
        </w:rPr>
        <w:t> </w:t>
      </w:r>
      <w:r>
        <w:rPr>
          <w:color w:val="6E6158"/>
        </w:rPr>
        <w:t>Revenue</w:t>
      </w:r>
      <w:r>
        <w:rPr>
          <w:color w:val="6E6158"/>
          <w:spacing w:val="35"/>
        </w:rPr>
        <w:t> </w:t>
      </w:r>
      <w:r>
        <w:rPr>
          <w:color w:val="6E6158"/>
        </w:rPr>
        <w:t>Service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United</w:t>
      </w:r>
      <w:r>
        <w:rPr>
          <w:color w:val="6E6158"/>
          <w:spacing w:val="35"/>
        </w:rPr>
        <w:t> </w:t>
      </w:r>
      <w:r>
        <w:rPr>
          <w:color w:val="6E6158"/>
        </w:rPr>
        <w:t>States</w:t>
      </w:r>
    </w:p>
    <w:p>
      <w:pPr>
        <w:pStyle w:val="BodyText"/>
        <w:spacing w:line="292" w:lineRule="auto"/>
      </w:pPr>
      <w:r>
        <w:rPr>
          <w:color w:val="6E6158"/>
        </w:rPr>
        <w:t>Department of Labor and in benefits related litigation matters.</w:t>
      </w:r>
      <w:r>
        <w:rPr>
          <w:color w:val="6E6158"/>
          <w:spacing w:val="80"/>
        </w:rPr>
        <w:t> </w:t>
      </w:r>
      <w:r>
        <w:rPr>
          <w:color w:val="6E6158"/>
        </w:rPr>
        <w:t>Prior to joining Fennemore, </w:t>
      </w:r>
      <w:r>
        <w:rPr>
          <w:color w:val="6E6158"/>
        </w:rPr>
        <w:t>David represented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number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multiemployer</w:t>
      </w:r>
      <w:r>
        <w:rPr>
          <w:color w:val="6E6158"/>
          <w:spacing w:val="35"/>
        </w:rPr>
        <w:t> </w:t>
      </w:r>
      <w:r>
        <w:rPr>
          <w:color w:val="6E6158"/>
        </w:rPr>
        <w:t>pension</w:t>
      </w:r>
      <w:r>
        <w:rPr>
          <w:color w:val="6E6158"/>
          <w:spacing w:val="35"/>
        </w:rPr>
        <w:t> </w:t>
      </w:r>
      <w:r>
        <w:rPr>
          <w:color w:val="6E6158"/>
        </w:rPr>
        <w:t>(including</w:t>
      </w:r>
      <w:r>
        <w:rPr>
          <w:color w:val="6E6158"/>
          <w:spacing w:val="35"/>
        </w:rPr>
        <w:t> </w:t>
      </w:r>
      <w:r>
        <w:rPr>
          <w:color w:val="6E6158"/>
        </w:rPr>
        <w:t>401(k)</w:t>
      </w:r>
      <w:r>
        <w:rPr>
          <w:color w:val="6E6158"/>
          <w:spacing w:val="35"/>
        </w:rPr>
        <w:t> </w:t>
      </w:r>
      <w:r>
        <w:rPr>
          <w:color w:val="6E6158"/>
        </w:rPr>
        <w:t>plans),</w:t>
      </w:r>
      <w:r>
        <w:rPr>
          <w:color w:val="6E6158"/>
          <w:spacing w:val="35"/>
        </w:rPr>
        <w:t> </w:t>
      </w:r>
      <w:r>
        <w:rPr>
          <w:color w:val="6E6158"/>
        </w:rPr>
        <w:t>health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welfare</w:t>
      </w:r>
    </w:p>
    <w:p>
      <w:pPr>
        <w:pStyle w:val="BodyText"/>
        <w:spacing w:line="292" w:lineRule="auto" w:before="9"/>
        <w:ind w:right="352"/>
      </w:pPr>
      <w:r>
        <w:rPr>
          <w:color w:val="6E6158"/>
        </w:rPr>
        <w:t>plans, and apprenticeship plans. In that role, he developed significant experience in </w:t>
      </w:r>
      <w:r>
        <w:rPr>
          <w:color w:val="6E6158"/>
        </w:rPr>
        <w:t>employer</w:t>
      </w:r>
      <w:r>
        <w:rPr>
          <w:color w:val="6E6158"/>
          <w:spacing w:val="40"/>
        </w:rPr>
        <w:t> </w:t>
      </w:r>
      <w:r>
        <w:rPr>
          <w:color w:val="6E6158"/>
        </w:rPr>
        <w:t>contribution issues, withdrawal liability, and plan administration matters.</w:t>
      </w:r>
    </w:p>
    <w:p>
      <w:pPr>
        <w:pStyle w:val="BodyText"/>
        <w:spacing w:line="292" w:lineRule="auto" w:before="196"/>
      </w:pPr>
      <w:r>
        <w:rPr>
          <w:color w:val="6E6158"/>
        </w:rPr>
        <w:t>Born and raised in Spokane, Washington, David considers himself a counselor at law. He’s</w:t>
      </w:r>
      <w:r>
        <w:rPr>
          <w:color w:val="6E6158"/>
          <w:spacing w:val="40"/>
        </w:rPr>
        <w:t> </w:t>
      </w:r>
      <w:r>
        <w:rPr>
          <w:color w:val="6E6158"/>
        </w:rPr>
        <w:t>comfortable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room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employees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one</w:t>
      </w:r>
      <w:r>
        <w:rPr>
          <w:color w:val="6E6158"/>
          <w:spacing w:val="12"/>
        </w:rPr>
        <w:t> </w:t>
      </w:r>
      <w:r>
        <w:rPr>
          <w:color w:val="6E6158"/>
        </w:rPr>
        <w:t>side,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management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other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he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</w:pPr>
      <w:r>
        <w:rPr>
          <w:color w:val="6E6158"/>
        </w:rPr>
        <w:t>has the ability to understand, relate to and speak to both sides in a meaningful way that solves</w:t>
      </w:r>
      <w:r>
        <w:rPr>
          <w:color w:val="6E6158"/>
          <w:spacing w:val="40"/>
        </w:rPr>
        <w:t> </w:t>
      </w:r>
      <w:r>
        <w:rPr>
          <w:color w:val="6E6158"/>
        </w:rPr>
        <w:t>problems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finds</w:t>
      </w:r>
      <w:r>
        <w:rPr>
          <w:color w:val="6E6158"/>
          <w:spacing w:val="21"/>
        </w:rPr>
        <w:t> </w:t>
      </w:r>
      <w:r>
        <w:rPr>
          <w:color w:val="6E6158"/>
        </w:rPr>
        <w:t>solutions.</w:t>
      </w:r>
      <w:r>
        <w:rPr>
          <w:color w:val="6E6158"/>
          <w:spacing w:val="21"/>
        </w:rPr>
        <w:t> </w:t>
      </w:r>
      <w:r>
        <w:rPr>
          <w:color w:val="6E6158"/>
        </w:rPr>
        <w:t>His</w:t>
      </w:r>
      <w:r>
        <w:rPr>
          <w:color w:val="6E6158"/>
          <w:spacing w:val="21"/>
        </w:rPr>
        <w:t> </w:t>
      </w:r>
      <w:r>
        <w:rPr>
          <w:color w:val="6E6158"/>
        </w:rPr>
        <w:t>passion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employment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benefits</w:t>
      </w:r>
      <w:r>
        <w:rPr>
          <w:color w:val="6E6158"/>
          <w:spacing w:val="21"/>
        </w:rPr>
        <w:t> </w:t>
      </w:r>
      <w:r>
        <w:rPr>
          <w:color w:val="6E6158"/>
        </w:rPr>
        <w:t>law</w:t>
      </w:r>
      <w:r>
        <w:rPr>
          <w:color w:val="6E6158"/>
          <w:spacing w:val="21"/>
        </w:rPr>
        <w:t> </w:t>
      </w:r>
      <w:r>
        <w:rPr>
          <w:color w:val="6E6158"/>
        </w:rPr>
        <w:t>serve</w:t>
      </w:r>
      <w:r>
        <w:rPr>
          <w:color w:val="6E6158"/>
          <w:spacing w:val="21"/>
        </w:rPr>
        <w:t> </w:t>
      </w:r>
      <w:r>
        <w:rPr>
          <w:color w:val="6E6158"/>
        </w:rPr>
        <w:t>David</w:t>
      </w:r>
      <w:r>
        <w:rPr>
          <w:color w:val="6E6158"/>
          <w:spacing w:val="21"/>
        </w:rPr>
        <w:t> </w:t>
      </w:r>
      <w:r>
        <w:rPr>
          <w:color w:val="6E6158"/>
        </w:rPr>
        <w:t>well,</w:t>
      </w:r>
      <w:r>
        <w:rPr>
          <w:color w:val="6E6158"/>
          <w:spacing w:val="21"/>
        </w:rPr>
        <w:t> </w:t>
      </w:r>
      <w:r>
        <w:rPr>
          <w:color w:val="6E6158"/>
        </w:rPr>
        <w:t>and he enjoys the mix of transactional and litigation work needed by his clients – with an eye towards</w:t>
      </w:r>
      <w:r>
        <w:rPr>
          <w:color w:val="6E6158"/>
          <w:spacing w:val="40"/>
        </w:rPr>
        <w:t> </w:t>
      </w:r>
      <w:r>
        <w:rPr>
          <w:color w:val="6E6158"/>
        </w:rPr>
        <w:t>constantly improving and learning more.</w:t>
      </w:r>
    </w:p>
    <w:p>
      <w:pPr>
        <w:pStyle w:val="BodyText"/>
        <w:spacing w:line="292" w:lineRule="auto" w:before="197"/>
        <w:ind w:right="307"/>
      </w:pPr>
      <w:r>
        <w:rPr>
          <w:color w:val="6E6158"/>
        </w:rPr>
        <w:t>Outside of work, you’d better be a warrior if you want to keep up with David. He’s a Triathlete</w:t>
      </w:r>
      <w:r>
        <w:rPr>
          <w:color w:val="6E6158"/>
          <w:spacing w:val="40"/>
        </w:rPr>
        <w:t> </w:t>
      </w:r>
      <w:r>
        <w:rPr>
          <w:color w:val="6E6158"/>
        </w:rPr>
        <w:t>who</w:t>
      </w:r>
      <w:r>
        <w:rPr>
          <w:color w:val="6E6158"/>
          <w:spacing w:val="13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completed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4"/>
        </w:rPr>
        <w:t> </w:t>
      </w:r>
      <w:r>
        <w:rPr>
          <w:color w:val="6E6158"/>
        </w:rPr>
        <w:t>full-iron</w:t>
      </w:r>
      <w:r>
        <w:rPr>
          <w:color w:val="6E6158"/>
          <w:spacing w:val="14"/>
        </w:rPr>
        <w:t> </w:t>
      </w:r>
      <w:r>
        <w:rPr>
          <w:color w:val="6E6158"/>
        </w:rPr>
        <w:t>distance</w:t>
      </w:r>
      <w:r>
        <w:rPr>
          <w:color w:val="6E6158"/>
          <w:spacing w:val="14"/>
        </w:rPr>
        <w:t> </w:t>
      </w:r>
      <w:r>
        <w:rPr>
          <w:color w:val="6E6158"/>
        </w:rPr>
        <w:t>Triathlons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numerous</w:t>
      </w:r>
      <w:r>
        <w:rPr>
          <w:color w:val="6E6158"/>
          <w:spacing w:val="14"/>
        </w:rPr>
        <w:t> </w:t>
      </w:r>
      <w:r>
        <w:rPr>
          <w:color w:val="6E6158"/>
        </w:rPr>
        <w:t>half-iron</w:t>
      </w:r>
      <w:r>
        <w:rPr>
          <w:color w:val="6E6158"/>
          <w:spacing w:val="14"/>
        </w:rPr>
        <w:t> </w:t>
      </w:r>
      <w:r>
        <w:rPr>
          <w:color w:val="6E6158"/>
        </w:rPr>
        <w:t>distance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races,</w:t>
      </w:r>
    </w:p>
    <w:p>
      <w:pPr>
        <w:pStyle w:val="BodyText"/>
        <w:spacing w:line="292" w:lineRule="auto" w:before="9"/>
        <w:ind w:right="352"/>
      </w:pPr>
      <w:r>
        <w:rPr>
          <w:color w:val="6E6158"/>
        </w:rPr>
        <w:t>and he has his sights set on the world’s most famous triathlon: the Ironman World Championship.</w:t>
      </w:r>
      <w:r>
        <w:rPr>
          <w:color w:val="6E6158"/>
          <w:spacing w:val="40"/>
        </w:rPr>
        <w:t> </w:t>
      </w:r>
      <w:r>
        <w:rPr>
          <w:color w:val="6E6158"/>
        </w:rPr>
        <w:t>David enjoys adventuring and traveling with his wife and spending time with his Alaskan</w:t>
      </w:r>
      <w:r>
        <w:rPr>
          <w:color w:val="6E6158"/>
          <w:spacing w:val="80"/>
        </w:rPr>
        <w:t> </w:t>
      </w:r>
      <w:r>
        <w:rPr>
          <w:color w:val="6E6158"/>
        </w:rPr>
        <w:t>Malamute and tuxedo cat.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Gonzaga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Washington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6862"/>
      </w:pP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ERISA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5" w:lineRule="auto"/>
        <w:ind w:right="229"/>
      </w:pPr>
      <w:hyperlink r:id="rId11">
        <w:r>
          <w:rPr>
            <w:color w:val="F5821F"/>
          </w:rPr>
          <w:t>Defended Walker Specialty Construction against more than $5 million in withdrawal liability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payments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related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its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cessation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work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within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union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pension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plan’s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jurisdiction.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result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 unanimous win in the Ninth Circuit Court of Appeals, Walker had no withdrawal liability and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received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reimbursement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payments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made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during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litigation,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plus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interest.</w:t>
        </w:r>
      </w:hyperlink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50</w:t>
      </w:r>
      <w:r>
        <w:rPr>
          <w:color w:val="6E6158"/>
          <w:spacing w:val="9"/>
        </w:rPr>
        <w:t> </w:t>
      </w:r>
      <w:r>
        <w:rPr>
          <w:color w:val="6E6158"/>
        </w:rPr>
        <w:t>Emerging</w:t>
      </w:r>
      <w:r>
        <w:rPr>
          <w:color w:val="6E6158"/>
          <w:spacing w:val="9"/>
        </w:rPr>
        <w:t> </w:t>
      </w:r>
      <w:r>
        <w:rPr>
          <w:color w:val="6E6158"/>
        </w:rPr>
        <w:t>Leaders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Watch,</w:t>
      </w:r>
      <w:r>
        <w:rPr>
          <w:color w:val="6E6158"/>
          <w:spacing w:val="9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Media,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spacing w:before="166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Super 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9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 Stars, </w:t>
      </w:r>
      <w:r>
        <w:rPr>
          <w:color w:val="6E6158"/>
          <w:spacing w:val="-2"/>
          <w:sz w:val="19"/>
        </w:rPr>
        <w:t>2020-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Speaker, “What Employers Need to Know About Immigration Compliance,” Greater </w:t>
      </w:r>
      <w:r>
        <w:rPr>
          <w:color w:val="6E6158"/>
        </w:rPr>
        <w:t>Phoenix Chamber – AZ in Focus, March 12, 2026</w:t>
      </w:r>
    </w:p>
    <w:p>
      <w:pPr>
        <w:pStyle w:val="BodyText"/>
        <w:spacing w:line="292" w:lineRule="auto" w:before="123"/>
        <w:ind w:right="307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The ‘No Tax’ Overtime Myth: Employer Payroll and Reporting Obligations Under the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One Big Beautiful Bill Act Explained</w:t>
        </w:r>
      </w:hyperlink>
      <w:r>
        <w:rPr>
          <w:color w:val="6E6158"/>
        </w:rPr>
        <w:t>,” Fennemore Blog, February 16, 2026</w:t>
      </w:r>
    </w:p>
    <w:p>
      <w:pPr>
        <w:pStyle w:val="BodyText"/>
        <w:spacing w:before="122"/>
        <w:rPr>
          <w:i/>
          <w:sz w:val="20"/>
        </w:rPr>
      </w:pP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“Employment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</w:rPr>
        <w:t>Employee-Benefits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Construction</w:t>
      </w:r>
      <w:r>
        <w:rPr>
          <w:color w:val="6E6158"/>
          <w:spacing w:val="9"/>
        </w:rPr>
        <w:t> </w:t>
      </w:r>
      <w:r>
        <w:rPr>
          <w:color w:val="6E6158"/>
        </w:rPr>
        <w:t>Industry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Federal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10"/>
          <w:sz w:val="20"/>
        </w:rPr>
        <w:t>&amp;</w:t>
      </w:r>
    </w:p>
    <w:p>
      <w:pPr>
        <w:spacing w:line="288" w:lineRule="auto" w:before="39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Arizona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Considerations,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Arizona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State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Bar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Construction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Section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Luncheon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CLE,”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pacing w:val="-2"/>
          <w:sz w:val="19"/>
        </w:rPr>
        <w:t>January 13,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28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Navigating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employment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policy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shifts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Trump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2.0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1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November</w:t>
      </w:r>
      <w:r>
        <w:rPr>
          <w:color w:val="6E6158"/>
          <w:spacing w:val="11"/>
        </w:rPr>
        <w:t> </w:t>
      </w:r>
      <w:r>
        <w:rPr>
          <w:color w:val="6E6158"/>
        </w:rPr>
        <w:t>17,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Trump 2.0 era brings pro-business, anti-DEI shift for employers</w:t>
        </w:r>
      </w:hyperlink>
      <w:r>
        <w:rPr>
          <w:color w:val="6E6158"/>
        </w:rPr>
        <w:t>,” AZ Capitol </w:t>
      </w:r>
      <w:r>
        <w:rPr>
          <w:color w:val="6E6158"/>
        </w:rPr>
        <w:t>Times, November 7, 2025</w:t>
      </w:r>
    </w:p>
    <w:p>
      <w:pPr>
        <w:pStyle w:val="BodyText"/>
        <w:spacing w:line="292" w:lineRule="auto" w:before="124"/>
      </w:pPr>
      <w:r>
        <w:rPr>
          <w:color w:val="6E6158"/>
        </w:rPr>
        <w:t>Co-Author, “</w:t>
      </w:r>
      <w:hyperlink r:id="rId15">
        <w:r>
          <w:rPr>
            <w:color w:val="F5821F"/>
          </w:rPr>
          <w:t>Policy Reset in Washington: What HR and In-House Counsel Must Do Now</w:t>
        </w:r>
      </w:hyperlink>
      <w:r>
        <w:rPr>
          <w:color w:val="6E6158"/>
        </w:rPr>
        <w:t>,” Greater Phoenix InBusiness Magazine, November 4,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52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Navigating Employment Policy Shifts in Trump 2.0</w:t>
        </w:r>
      </w:hyperlink>
      <w:r>
        <w:rPr>
          <w:color w:val="6E6158"/>
        </w:rPr>
        <w:t>,” Fennemore Blog, October </w:t>
      </w:r>
      <w:r>
        <w:rPr>
          <w:color w:val="6E6158"/>
        </w:rPr>
        <w:t>30,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  <w:ind w:right="307"/>
      </w:pPr>
      <w:r>
        <w:rPr>
          <w:color w:val="6E6158"/>
        </w:rPr>
        <w:t>Presenter, “Navigating Current Challenges for Employers,” Fennemore’s Labor &amp; </w:t>
      </w:r>
      <w:r>
        <w:rPr>
          <w:color w:val="6E6158"/>
        </w:rPr>
        <w:t>Employment Insights, October 22, 2025</w:t>
      </w:r>
    </w:p>
    <w:p>
      <w:pPr>
        <w:pStyle w:val="BodyText"/>
        <w:spacing w:line="292" w:lineRule="auto" w:before="123"/>
        <w:ind w:right="307"/>
      </w:pPr>
      <w:r>
        <w:rPr>
          <w:color w:val="6E6158"/>
        </w:rPr>
        <w:t>Co-Author, “</w:t>
      </w:r>
      <w:hyperlink r:id="rId17">
        <w:r>
          <w:rPr>
            <w:color w:val="F5821F"/>
          </w:rPr>
          <w:t>The One Big Beautiful Bill: What Employers Need to Know</w:t>
        </w:r>
      </w:hyperlink>
      <w:r>
        <w:rPr>
          <w:color w:val="6E6158"/>
        </w:rPr>
        <w:t>,” Greater </w:t>
      </w:r>
      <w:r>
        <w:rPr>
          <w:color w:val="6E6158"/>
        </w:rPr>
        <w:t>Phoenix Chamber, October 8, 2025</w:t>
      </w:r>
    </w:p>
    <w:p>
      <w:pPr>
        <w:pStyle w:val="BodyText"/>
        <w:spacing w:line="292" w:lineRule="auto" w:before="131"/>
        <w:ind w:right="307"/>
      </w:pPr>
      <w:r>
        <w:rPr>
          <w:color w:val="6E6158"/>
        </w:rPr>
        <w:t>Speaker, “One Big Beautiful Bill: What Employers Need to Know,” Chandler Chamber </w:t>
      </w:r>
      <w:r>
        <w:rPr>
          <w:color w:val="6E6158"/>
        </w:rPr>
        <w:t>of Commerce Public Policy Series, September 12, 2025</w:t>
      </w:r>
    </w:p>
    <w:p>
      <w:pPr>
        <w:pStyle w:val="BodyText"/>
        <w:spacing w:before="124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8">
        <w:r>
          <w:rPr>
            <w:color w:val="F5821F"/>
          </w:rPr>
          <w:t>One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Big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Beautiful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bill: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What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employers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need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know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BLR,</w:t>
      </w:r>
      <w:r>
        <w:rPr>
          <w:color w:val="6E6158"/>
          <w:spacing w:val="10"/>
        </w:rPr>
        <w:t> </w:t>
      </w:r>
      <w:r>
        <w:rPr>
          <w:color w:val="6E6158"/>
        </w:rPr>
        <w:t>August</w:t>
      </w:r>
      <w:r>
        <w:rPr>
          <w:color w:val="6E6158"/>
          <w:spacing w:val="10"/>
        </w:rPr>
        <w:t> </w:t>
      </w:r>
      <w:r>
        <w:rPr>
          <w:color w:val="6E6158"/>
        </w:rPr>
        <w:t>20,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</w:pPr>
      <w:r>
        <w:rPr>
          <w:color w:val="6E6158"/>
        </w:rPr>
        <w:t>Speaker, One Big Beautiful Bill: What Employers Need to Know, Greater Phoenix Chamber – AZ in</w:t>
      </w:r>
      <w:r>
        <w:rPr>
          <w:color w:val="6E6158"/>
          <w:spacing w:val="40"/>
        </w:rPr>
        <w:t> </w:t>
      </w:r>
      <w:r>
        <w:rPr>
          <w:color w:val="6E6158"/>
        </w:rPr>
        <w:t>Focus, August 6, 2025</w:t>
      </w:r>
    </w:p>
    <w:p>
      <w:pPr>
        <w:pStyle w:val="BodyText"/>
        <w:spacing w:before="112"/>
      </w:pPr>
      <w:r>
        <w:rPr>
          <w:color w:val="6E6158"/>
        </w:rPr>
        <w:t>Co-Author,</w:t>
      </w:r>
      <w:r>
        <w:rPr>
          <w:color w:val="6E6158"/>
          <w:spacing w:val="9"/>
        </w:rPr>
        <w:t> </w:t>
      </w:r>
      <w:r>
        <w:rPr>
          <w:color w:val="6E6158"/>
        </w:rPr>
        <w:t>“‘</w:t>
      </w:r>
      <w:hyperlink r:id="rId19">
        <w:r>
          <w:rPr>
            <w:color w:val="F5821F"/>
          </w:rPr>
          <w:t>One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Big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Beautiful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Bill’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what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employers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need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know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Media,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</w:rPr>
        <w:t>26,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>
          <w:color w:val="6E6158"/>
        </w:rPr>
        <w:t>Co-Author, “</w:t>
      </w:r>
      <w:hyperlink r:id="rId20">
        <w:r>
          <w:rPr>
            <w:color w:val="F5821F"/>
          </w:rPr>
          <w:t>Supreme Court Makes It Easier For Plaintiffs To Sue Plan Fiduciaries</w:t>
        </w:r>
      </w:hyperlink>
      <w:r>
        <w:rPr>
          <w:color w:val="6E6158"/>
        </w:rPr>
        <w:t>,” Fennemore Blog, April 21, 2025</w:t>
      </w:r>
    </w:p>
    <w:p>
      <w:pPr>
        <w:pStyle w:val="BodyText"/>
        <w:spacing w:before="132"/>
      </w:pPr>
      <w:hyperlink r:id="rId21">
        <w:r>
          <w:rPr>
            <w:color w:val="F5821F"/>
          </w:rPr>
          <w:t>Co-Author,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Justices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Likely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ERISA’s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Bounds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Pleadings,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Law360,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February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12,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2025</w:t>
        </w:r>
      </w:hyperlink>
    </w:p>
    <w:p>
      <w:pPr>
        <w:pStyle w:val="BodyText"/>
        <w:spacing w:line="292" w:lineRule="auto" w:before="174"/>
        <w:ind w:right="307"/>
      </w:pPr>
      <w:r>
        <w:rPr>
          <w:color w:val="6E6158"/>
        </w:rPr>
        <w:t>Co-Author, </w:t>
      </w:r>
      <w:hyperlink r:id="rId22">
        <w:r>
          <w:rPr>
            <w:color w:val="F5821F"/>
          </w:rPr>
          <w:t>Buying Or Selling A Business? Don’t Forget To Look Out For These Employee Benefits</w:t>
        </w:r>
      </w:hyperlink>
      <w:r>
        <w:rPr>
          <w:color w:val="F5821F"/>
        </w:rPr>
        <w:t> </w:t>
      </w:r>
      <w:hyperlink r:id="rId22">
        <w:r>
          <w:rPr>
            <w:color w:val="F5821F"/>
          </w:rPr>
          <w:t>Issues!</w:t>
        </w:r>
      </w:hyperlink>
      <w:r>
        <w:rPr>
          <w:color w:val="6E6158"/>
        </w:rPr>
        <w:t>, Fennemore Blog, June 26, 2024</w:t>
      </w:r>
    </w:p>
    <w:p>
      <w:pPr>
        <w:pStyle w:val="BodyText"/>
        <w:spacing w:line="292" w:lineRule="auto" w:before="131"/>
      </w:pPr>
      <w:r>
        <w:rPr>
          <w:color w:val="6E6158"/>
        </w:rPr>
        <w:t>Author, “</w:t>
      </w:r>
      <w:hyperlink r:id="rId23">
        <w:r>
          <w:rPr>
            <w:color w:val="F5821F"/>
          </w:rPr>
          <w:t>California civil penalties await Arizona employers enforcing noncompete clauses </w:t>
        </w:r>
        <w:r>
          <w:rPr>
            <w:color w:val="F5821F"/>
          </w:rPr>
          <w:t>across</w:t>
        </w:r>
      </w:hyperlink>
      <w:r>
        <w:rPr>
          <w:color w:val="F5821F"/>
          <w:spacing w:val="40"/>
        </w:rPr>
        <w:t> </w:t>
      </w:r>
      <w:hyperlink r:id="rId23">
        <w:r>
          <w:rPr>
            <w:color w:val="F5821F"/>
          </w:rPr>
          <w:t>state lines</w:t>
        </w:r>
      </w:hyperlink>
      <w:r>
        <w:rPr>
          <w:color w:val="6E6158"/>
        </w:rPr>
        <w:t>,” Phoenix Business Journal, April 1, 2024</w:t>
      </w:r>
    </w:p>
    <w:p>
      <w:pPr>
        <w:pStyle w:val="BodyText"/>
        <w:spacing w:line="292" w:lineRule="auto" w:before="123"/>
        <w:ind w:right="307"/>
      </w:pPr>
      <w:hyperlink r:id="rId24">
        <w:r>
          <w:rPr>
            <w:color w:val="F5821F"/>
          </w:rPr>
          <w:t>Co-Author “New 401(k) Plan Rules Impose Mandatory Eligibility Requirements for Part-</w:t>
        </w:r>
        <w:r>
          <w:rPr>
            <w:color w:val="F5821F"/>
          </w:rPr>
          <w:t>Time</w:t>
        </w:r>
      </w:hyperlink>
      <w:r>
        <w:rPr>
          <w:color w:val="F5821F"/>
          <w:spacing w:val="40"/>
        </w:rPr>
        <w:t> </w:t>
      </w:r>
      <w:hyperlink r:id="rId24">
        <w:r>
          <w:rPr>
            <w:color w:val="F5821F"/>
          </w:rPr>
          <w:t>Employees in 2024,” Fennemore Client Alert, October 5, 2023</w:t>
        </w:r>
      </w:hyperlink>
    </w:p>
    <w:p>
      <w:pPr>
        <w:pStyle w:val="BodyText"/>
        <w:spacing w:line="292" w:lineRule="auto" w:before="132"/>
      </w:pPr>
      <w:hyperlink r:id="rId25">
        <w:r>
          <w:rPr>
            <w:color w:val="F5821F"/>
          </w:rPr>
          <w:t>Co-Author “Roth Catch-Up Contributions Under SECURE 2.0: The IRS Delays New Requirements </w:t>
        </w:r>
        <w:r>
          <w:rPr>
            <w:color w:val="F5821F"/>
          </w:rPr>
          <w:t>to</w:t>
        </w:r>
      </w:hyperlink>
      <w:r>
        <w:rPr>
          <w:color w:val="F5821F"/>
          <w:spacing w:val="40"/>
        </w:rPr>
        <w:t> </w:t>
      </w:r>
      <w:hyperlink r:id="rId25">
        <w:r>
          <w:rPr>
            <w:color w:val="F5821F"/>
          </w:rPr>
          <w:t>2026,” Fennemore Client Alert, September 6, 2023</w:t>
        </w:r>
      </w:hyperlink>
    </w:p>
    <w:p>
      <w:pPr>
        <w:pStyle w:val="BodyText"/>
        <w:spacing w:line="292" w:lineRule="auto" w:before="123"/>
        <w:ind w:right="307"/>
      </w:pPr>
      <w:hyperlink r:id="rId26">
        <w:r>
          <w:rPr>
            <w:color w:val="F5821F"/>
          </w:rPr>
          <w:t>Co-Author “Health Plans Must Attest They Have No “Gag Clause” By End of 2023: It’s Time To</w:t>
        </w:r>
      </w:hyperlink>
      <w:r>
        <w:rPr>
          <w:color w:val="F5821F"/>
          <w:spacing w:val="40"/>
        </w:rPr>
        <w:t> </w:t>
      </w:r>
      <w:hyperlink r:id="rId26">
        <w:r>
          <w:rPr>
            <w:color w:val="F5821F"/>
          </w:rPr>
          <w:t>Check Your Service Provider Agreement,” Fennemore Client Alert, August 24, 2023</w:t>
        </w:r>
      </w:hyperlink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Volunteer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Play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Gracie</w:t>
      </w:r>
      <w:r>
        <w:rPr>
          <w:color w:val="6E6158"/>
          <w:spacing w:val="11"/>
        </w:rPr>
        <w:t> </w:t>
      </w:r>
      <w:r>
        <w:rPr>
          <w:color w:val="6E6158"/>
        </w:rPr>
        <w:t>Foundation,</w:t>
      </w:r>
      <w:r>
        <w:rPr>
          <w:color w:val="6E6158"/>
          <w:spacing w:val="10"/>
        </w:rPr>
        <w:t> </w:t>
      </w:r>
      <w:r>
        <w:rPr>
          <w:color w:val="6E6158"/>
        </w:rPr>
        <w:t>Spokane,</w:t>
      </w:r>
      <w:r>
        <w:rPr>
          <w:color w:val="6E6158"/>
          <w:spacing w:val="10"/>
        </w:rPr>
        <w:t> </w:t>
      </w:r>
      <w:r>
        <w:rPr>
          <w:color w:val="6E6158"/>
        </w:rPr>
        <w:t>WA,</w:t>
      </w:r>
      <w:r>
        <w:rPr>
          <w:color w:val="6E6158"/>
          <w:spacing w:val="10"/>
        </w:rPr>
        <w:t> </w:t>
      </w:r>
      <w:r>
        <w:rPr>
          <w:color w:val="6E6158"/>
        </w:rPr>
        <w:t>2014-</w:t>
      </w:r>
      <w:r>
        <w:rPr>
          <w:color w:val="6E6158"/>
          <w:spacing w:val="-4"/>
        </w:rPr>
        <w:t>2019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540"/>
      </w:pPr>
      <w:r>
        <w:rPr>
          <w:color w:val="6E6158"/>
          <w:spacing w:val="-2"/>
        </w:rPr>
        <w:t>Arizona Washington</w:t>
      </w:r>
    </w:p>
    <w:p>
      <w:pPr>
        <w:pStyle w:val="BodyText"/>
        <w:spacing w:before="6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Eastern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Western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dsieck@fennemorelaw.com" TargetMode="External"/><Relationship Id="rId11" Type="http://schemas.openxmlformats.org/officeDocument/2006/relationships/hyperlink" Target="https://www.fennemorelaw.com/fennemores-erisa-team-scores-ninth-circuit-victory-clarifying-the-withdrawal-liability-building-and-construction-exception/" TargetMode="External"/><Relationship Id="rId12" Type="http://schemas.openxmlformats.org/officeDocument/2006/relationships/hyperlink" Target="https://www.fennemorelaw.com/the-no-tax-overtime-myth-employer-payroll-and-reporting-obligations-under-the-one-big-beautiful-bill-act-explained/" TargetMode="External"/><Relationship Id="rId13" Type="http://schemas.openxmlformats.org/officeDocument/2006/relationships/hyperlink" Target="https://azbigmedia.com/business/navigating-employment-policy-shifts-in-trump-2-0/" TargetMode="External"/><Relationship Id="rId14" Type="http://schemas.openxmlformats.org/officeDocument/2006/relationships/hyperlink" Target="https://azcapitoltimes.com/news/2025/11/07/trump-2-0-era-brings-pro-business-anti-dei-shift-for-employers/" TargetMode="External"/><Relationship Id="rId15" Type="http://schemas.openxmlformats.org/officeDocument/2006/relationships/hyperlink" Target="https://inbusinessphx.com/government-compliance/policy-reset-in-washington-what-hr-and-in-house-counsel-must-do-now" TargetMode="External"/><Relationship Id="rId16" Type="http://schemas.openxmlformats.org/officeDocument/2006/relationships/hyperlink" Target="https://www.fennemorelaw.com/navigating-employment-policy-shifts-in-trump-2-0/" TargetMode="External"/><Relationship Id="rId17" Type="http://schemas.openxmlformats.org/officeDocument/2006/relationships/hyperlink" Target="https://phoenixchamber.com/2025/10/08/the-one-big-beautiful-bill-what-employers-need-to-know/" TargetMode="External"/><Relationship Id="rId18" Type="http://schemas.openxmlformats.org/officeDocument/2006/relationships/hyperlink" Target="https://blr.com/resources/one-big-beautiful-bill-what-employers-need-to-know/" TargetMode="External"/><Relationship Id="rId19" Type="http://schemas.openxmlformats.org/officeDocument/2006/relationships/hyperlink" Target="https://azbigmedia.com/business/one-big-beautiful-bill-what-employers-need-to-know/" TargetMode="External"/><Relationship Id="rId20" Type="http://schemas.openxmlformats.org/officeDocument/2006/relationships/hyperlink" Target="https://www.fennemorelaw.com/supreme-court-makes-it-easier-for-plaintiffs-to-sue-plan-fiduciaries/" TargetMode="External"/><Relationship Id="rId21" Type="http://schemas.openxmlformats.org/officeDocument/2006/relationships/hyperlink" Target="https://www.fennemorelaw.com/justices-likely-to-stay-in-erisas-bounds-on-pleadings/" TargetMode="External"/><Relationship Id="rId22" Type="http://schemas.openxmlformats.org/officeDocument/2006/relationships/hyperlink" Target="https://www.fennemorelaw.com/buying-or-selling-a-business-dont-forget-to-look-out-for-these-employee-benefits-issues/" TargetMode="External"/><Relationship Id="rId23" Type="http://schemas.openxmlformats.org/officeDocument/2006/relationships/hyperlink" Target="https://www.bizjournals.com/phoenix/news/2024/04/01/california-civil-penalties-arizona-noncompete.html" TargetMode="External"/><Relationship Id="rId24" Type="http://schemas.openxmlformats.org/officeDocument/2006/relationships/hyperlink" Target="https://mailchi.mp/fennemorelaw/roth-catch-up-contributions-15828694?e=521c02bb5c" TargetMode="External"/><Relationship Id="rId25" Type="http://schemas.openxmlformats.org/officeDocument/2006/relationships/hyperlink" Target="https://mailchi.mp/fennemorelaw/roth-catch-up-contributions" TargetMode="External"/><Relationship Id="rId26" Type="http://schemas.openxmlformats.org/officeDocument/2006/relationships/hyperlink" Target="https://mailchi.mp/fennemorelaw/erisa-gag-clause?e=%5bUNIQ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Sieck - Fennemore</dc:title>
  <dcterms:created xsi:type="dcterms:W3CDTF">2026-06-12T10:01:26Z</dcterms:created>
  <dcterms:modified xsi:type="dcterms:W3CDTF">2026-06-12T10:01:26Z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