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right="677"/>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right="677"/>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right="677"/>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right="390"/>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right="770"/>
        <w:jc w:val="both"/>
      </w:pPr>
      <w:r>
        <w:rPr>
          <w:color w:val="6E6158"/>
        </w:rPr>
        <w:t>His depth of experience and practical approach make him a trusted advocate for </w:t>
      </w:r>
      <w:r>
        <w:rPr>
          <w:color w:val="6E6158"/>
        </w:rPr>
        <w:t>employers facing challenging legal issues in the workplace.</w:t>
      </w:r>
    </w:p>
    <w:p>
      <w:pPr>
        <w:pStyle w:val="Heading1"/>
        <w:spacing w:before="152"/>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148"/>
        <w:ind w:left="343" w:right="4982"/>
      </w:pPr>
      <w:r>
        <w:rPr>
          <w:color w:val="6E6158"/>
        </w:rPr>
        <w:t>Articles Editor, Brigham Young Law </w:t>
      </w:r>
      <w:r>
        <w:rPr>
          <w:color w:val="6E6158"/>
        </w:rPr>
        <w:t>Review Order of the Coif</w:t>
      </w:r>
    </w:p>
    <w:p>
      <w:pPr>
        <w:spacing w:line="228" w:lineRule="exact" w:before="0"/>
        <w:ind w:left="99" w:right="0" w:firstLine="0"/>
        <w:jc w:val="left"/>
        <w:rPr>
          <w:i/>
          <w:sz w:val="20"/>
        </w:rPr>
      </w:pP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160"/>
        <w:ind w:left="0"/>
        <w:rPr>
          <w:i/>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spacing w:line="420" w:lineRule="auto"/>
        <w:ind w:right="6984"/>
      </w:pPr>
      <w:r>
        <w:rPr>
          <w:color w:val="6E6158"/>
        </w:rPr>
        <w:t>Labor &amp; </w:t>
      </w:r>
      <w:r>
        <w:rPr>
          <w:color w:val="6E6158"/>
        </w:rPr>
        <w:t>Employment Business Litigation</w:t>
      </w:r>
    </w:p>
    <w:p>
      <w:pPr>
        <w:pStyle w:val="Heading1"/>
        <w:spacing w:before="290"/>
      </w:pPr>
      <w:r>
        <w:rPr>
          <w:color w:val="FF8100"/>
        </w:rPr>
        <w:t>REPRESENTATIVE</w:t>
      </w:r>
      <w:r>
        <w:rPr>
          <w:color w:val="FF8100"/>
          <w:spacing w:val="19"/>
        </w:rPr>
        <w:t> </w:t>
      </w:r>
      <w:r>
        <w:rPr>
          <w:color w:val="FF8100"/>
          <w:spacing w:val="-2"/>
        </w:rPr>
        <w:t>MATTERS</w:t>
      </w:r>
    </w:p>
    <w:p>
      <w:pPr>
        <w:pStyle w:val="BodyText"/>
        <w:spacing w:before="27"/>
        <w:ind w:left="0"/>
        <w:rPr>
          <w:b/>
        </w:rPr>
      </w:pPr>
    </w:p>
    <w:p>
      <w:pPr>
        <w:pStyle w:val="BodyText"/>
        <w:spacing w:line="292" w:lineRule="auto"/>
        <w:ind w:right="677"/>
      </w:pPr>
      <w:r>
        <w:rPr>
          <w:color w:val="6E6158"/>
        </w:rPr>
        <w:t>Successfully defended a healthcare provider in class action litigation brought by the EEOC </w:t>
      </w:r>
      <w:r>
        <w:rPr>
          <w:color w:val="6E6158"/>
        </w:rPr>
        <w:t>for</w:t>
      </w:r>
      <w:r>
        <w:rPr>
          <w:color w:val="6E6158"/>
          <w:spacing w:val="40"/>
        </w:rPr>
        <w:t> </w:t>
      </w:r>
      <w:r>
        <w:rPr>
          <w:color w:val="6E6158"/>
        </w:rPr>
        <w:t>alleged discrimination under the ADA.</w:t>
      </w:r>
    </w:p>
    <w:p>
      <w:pPr>
        <w:pStyle w:val="BodyText"/>
        <w:spacing w:line="302" w:lineRule="auto" w:before="124"/>
        <w:ind w:right="677"/>
      </w:pPr>
      <w:r>
        <w:rPr>
          <w:color w:val="6E6158"/>
        </w:rPr>
        <w:t>Successfully appealed an adverse finding from the New Mexico Labor and Industrial </w:t>
      </w:r>
      <w:r>
        <w:rPr>
          <w:color w:val="6E6158"/>
        </w:rPr>
        <w:t>Commission</w:t>
      </w:r>
      <w:r>
        <w:rPr>
          <w:color w:val="6E6158"/>
          <w:spacing w:val="40"/>
        </w:rPr>
        <w:t> </w:t>
      </w:r>
      <w:r>
        <w:rPr>
          <w:color w:val="6E6158"/>
        </w:rPr>
        <w:t>and</w:t>
      </w:r>
      <w:r>
        <w:rPr>
          <w:color w:val="6E6158"/>
          <w:spacing w:val="25"/>
        </w:rPr>
        <w:t> </w:t>
      </w:r>
      <w:r>
        <w:rPr>
          <w:color w:val="6E6158"/>
        </w:rPr>
        <w:t>obtained</w:t>
      </w:r>
      <w:r>
        <w:rPr>
          <w:color w:val="6E6158"/>
          <w:spacing w:val="25"/>
        </w:rPr>
        <w:t> </w:t>
      </w:r>
      <w:r>
        <w:rPr>
          <w:color w:val="6E6158"/>
        </w:rPr>
        <w:t>a</w:t>
      </w:r>
      <w:r>
        <w:rPr>
          <w:color w:val="6E6158"/>
          <w:spacing w:val="25"/>
        </w:rPr>
        <w:t> </w:t>
      </w:r>
      <w:r>
        <w:rPr>
          <w:color w:val="6E6158"/>
        </w:rPr>
        <w:t>reversal</w:t>
      </w:r>
      <w:r>
        <w:rPr>
          <w:color w:val="6E6158"/>
          <w:spacing w:val="25"/>
        </w:rPr>
        <w:t> </w:t>
      </w:r>
      <w:r>
        <w:rPr>
          <w:color w:val="6E6158"/>
        </w:rPr>
        <w:t>of</w:t>
      </w:r>
      <w:r>
        <w:rPr>
          <w:color w:val="6E6158"/>
          <w:spacing w:val="25"/>
        </w:rPr>
        <w:t> </w:t>
      </w:r>
      <w:r>
        <w:rPr>
          <w:color w:val="6E6158"/>
        </w:rPr>
        <w:t>that</w:t>
      </w:r>
      <w:r>
        <w:rPr>
          <w:color w:val="6E6158"/>
          <w:spacing w:val="25"/>
        </w:rPr>
        <w:t> </w:t>
      </w:r>
      <w:r>
        <w:rPr>
          <w:color w:val="6E6158"/>
        </w:rPr>
        <w:t>decision</w:t>
      </w:r>
      <w:r>
        <w:rPr>
          <w:color w:val="6E6158"/>
          <w:spacing w:val="25"/>
        </w:rPr>
        <w:t> </w:t>
      </w:r>
      <w:r>
        <w:rPr>
          <w:color w:val="6E6158"/>
        </w:rPr>
        <w:t>from</w:t>
      </w:r>
      <w:r>
        <w:rPr>
          <w:color w:val="6E6158"/>
          <w:spacing w:val="25"/>
        </w:rPr>
        <w:t> </w:t>
      </w:r>
      <w:r>
        <w:rPr>
          <w:color w:val="6E6158"/>
        </w:rPr>
        <w:t>the</w:t>
      </w:r>
      <w:r>
        <w:rPr>
          <w:color w:val="6E6158"/>
          <w:spacing w:val="25"/>
        </w:rPr>
        <w:t> </w:t>
      </w:r>
      <w:r>
        <w:rPr>
          <w:color w:val="6E6158"/>
        </w:rPr>
        <w:t>Labor</w:t>
      </w:r>
      <w:r>
        <w:rPr>
          <w:color w:val="6E6158"/>
          <w:spacing w:val="25"/>
        </w:rPr>
        <w:t> </w:t>
      </w:r>
      <w:r>
        <w:rPr>
          <w:color w:val="6E6158"/>
        </w:rPr>
        <w:t>Relations</w:t>
      </w:r>
      <w:r>
        <w:rPr>
          <w:color w:val="6E6158"/>
          <w:spacing w:val="25"/>
        </w:rPr>
        <w:t> </w:t>
      </w:r>
      <w:r>
        <w:rPr>
          <w:color w:val="6E6158"/>
        </w:rPr>
        <w:t>Division</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New</w:t>
      </w:r>
      <w:r>
        <w:rPr>
          <w:color w:val="6E6158"/>
          <w:spacing w:val="25"/>
        </w:rPr>
        <w:t> </w:t>
      </w:r>
      <w:r>
        <w:rPr>
          <w:color w:val="6E6158"/>
        </w:rPr>
        <w:t>Mexico</w:t>
      </w:r>
    </w:p>
    <w:p>
      <w:pPr>
        <w:pStyle w:val="BodyText"/>
        <w:spacing w:line="292" w:lineRule="auto"/>
        <w:ind w:right="677"/>
      </w:pPr>
      <w:r>
        <w:rPr>
          <w:color w:val="6E6158"/>
        </w:rPr>
        <w:t>Department of Workforce Solutions related to alleged violations of the Davis-Bacon Act and the</w:t>
      </w:r>
      <w:r>
        <w:rPr>
          <w:color w:val="6E6158"/>
          <w:spacing w:val="40"/>
        </w:rPr>
        <w:t> </w:t>
      </w:r>
      <w:r>
        <w:rPr>
          <w:color w:val="6E6158"/>
        </w:rPr>
        <w:t>New Mexico Public Works Minimum Wage Act.</w:t>
      </w:r>
    </w:p>
    <w:p>
      <w:pPr>
        <w:pStyle w:val="BodyText"/>
        <w:spacing w:line="302" w:lineRule="auto" w:before="114"/>
        <w:ind w:right="677"/>
      </w:pP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77"/>
      </w:pPr>
      <w:r>
        <w:rPr>
          <w:color w:val="6E6158"/>
        </w:rPr>
        <w:t>Obtained a defense verdict in an FMLA interference and retaliation case where the plaintiff also</w:t>
      </w:r>
      <w:r>
        <w:rPr>
          <w:color w:val="6E6158"/>
          <w:spacing w:val="40"/>
        </w:rPr>
        <w:t> </w:t>
      </w:r>
      <w:r>
        <w:rPr>
          <w:color w:val="6E6158"/>
        </w:rPr>
        <w:t>alleged sexual harassment, retaliation, and violations of the FLSA.</w:t>
      </w:r>
    </w:p>
    <w:p>
      <w:pPr>
        <w:pStyle w:val="BodyText"/>
        <w:spacing w:line="302" w:lineRule="auto" w:before="123"/>
        <w:ind w:right="677"/>
      </w:pP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661"/>
      </w:pPr>
      <w:r>
        <w:rPr>
          <w:color w:val="6E6158"/>
        </w:rPr>
        <w:t>Secured a defense verdict and award of fees and costs in a race discrimination and retaliation</w:t>
      </w:r>
      <w:r>
        <w:rPr>
          <w:color w:val="6E6158"/>
          <w:spacing w:val="40"/>
        </w:rPr>
        <w:t> </w:t>
      </w:r>
      <w:r>
        <w:rPr>
          <w:color w:val="6E6158"/>
        </w:rPr>
        <w:t>lawsuit in the U.S. District Court for the District of Arizona.</w:t>
      </w:r>
    </w:p>
    <w:p>
      <w:pPr>
        <w:pStyle w:val="BodyText"/>
        <w:spacing w:line="292" w:lineRule="auto" w:before="131"/>
        <w:ind w:right="737"/>
      </w:pP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spacing w:line="297" w:lineRule="auto" w:before="123"/>
        <w:ind w:right="661"/>
      </w:pPr>
      <w:r>
        <w:rPr>
          <w:color w:val="6E6158"/>
        </w:rPr>
        <w:t>Successfully defended against an OSHA whistleblower complaint in proceedings before the </w:t>
      </w:r>
      <w:r>
        <w:rPr>
          <w:color w:val="6E6158"/>
        </w:rPr>
        <w:t>U.S.</w:t>
      </w:r>
      <w:r>
        <w:rPr>
          <w:color w:val="6E6158"/>
          <w:spacing w:val="40"/>
        </w:rPr>
        <w:t> </w:t>
      </w:r>
      <w:r>
        <w:rPr>
          <w:color w:val="6E6158"/>
        </w:rPr>
        <w:t>Department of Labor and the 10th Circuit Court of Appeals. Mizusawa v. United Parcel Service,</w:t>
      </w:r>
      <w:r>
        <w:rPr>
          <w:color w:val="6E6158"/>
          <w:spacing w:val="40"/>
        </w:rPr>
        <w:t> </w:t>
      </w:r>
      <w:r>
        <w:rPr>
          <w:color w:val="6E6158"/>
        </w:rPr>
        <w:t>524 Fed.Appx. 4431 (10th Cir. 2013)</w:t>
      </w:r>
    </w:p>
    <w:p>
      <w:pPr>
        <w:pStyle w:val="BodyText"/>
        <w:spacing w:line="292" w:lineRule="auto" w:before="118"/>
        <w:ind w:right="737"/>
      </w:pPr>
      <w:r>
        <w:rPr>
          <w:color w:val="6E6158"/>
        </w:rPr>
        <w:t>Obtained a defense verdict in favor of a hospital in a lawsuit alleging unlawful race discrimination and retaliation under Title VII and 42 USC §1981.</w:t>
      </w:r>
    </w:p>
    <w:p>
      <w:pPr>
        <w:pStyle w:val="BodyText"/>
        <w:spacing w:line="302" w:lineRule="auto" w:before="124"/>
      </w:pP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2"/>
        <w:ind w:right="677"/>
      </w:pPr>
      <w:r>
        <w:rPr>
          <w:color w:val="6E6158"/>
        </w:rPr>
        <w:t>Obtained a jury verdict and award of costs in favor of an employer charged with discrimination</w:t>
      </w:r>
      <w:r>
        <w:rPr>
          <w:color w:val="6E6158"/>
          <w:spacing w:val="40"/>
        </w:rPr>
        <w:t> </w:t>
      </w:r>
      <w:r>
        <w:rPr>
          <w:color w:val="6E6158"/>
        </w:rPr>
        <w:t>under the Americans with Disabilities Act.</w:t>
      </w:r>
    </w:p>
    <w:p>
      <w:pPr>
        <w:pStyle w:val="BodyText"/>
        <w:spacing w:line="302" w:lineRule="auto" w:before="124"/>
        <w:ind w:right="390"/>
      </w:pPr>
      <w:r>
        <w:rPr>
          <w:color w:val="6E6158"/>
        </w:rPr>
        <w:t>Obtained</w:t>
      </w:r>
      <w:r>
        <w:rPr>
          <w:color w:val="6E6158"/>
          <w:spacing w:val="14"/>
        </w:rPr>
        <w:t> </w:t>
      </w:r>
      <w:r>
        <w:rPr>
          <w:color w:val="6E6158"/>
        </w:rPr>
        <w:t>a</w:t>
      </w:r>
      <w:r>
        <w:rPr>
          <w:color w:val="6E6158"/>
          <w:spacing w:val="14"/>
        </w:rPr>
        <w:t> </w:t>
      </w:r>
      <w:r>
        <w:rPr>
          <w:color w:val="6E6158"/>
        </w:rPr>
        <w:t>defense</w:t>
      </w:r>
      <w:r>
        <w:rPr>
          <w:color w:val="6E6158"/>
          <w:spacing w:val="14"/>
        </w:rPr>
        <w:t> </w:t>
      </w:r>
      <w:r>
        <w:rPr>
          <w:color w:val="6E6158"/>
        </w:rPr>
        <w:t>judgment</w:t>
      </w:r>
      <w:r>
        <w:rPr>
          <w:color w:val="6E6158"/>
          <w:spacing w:val="14"/>
        </w:rPr>
        <w:t> </w:t>
      </w:r>
      <w:r>
        <w:rPr>
          <w:color w:val="6E6158"/>
        </w:rPr>
        <w:t>and</w:t>
      </w:r>
      <w:r>
        <w:rPr>
          <w:color w:val="6E6158"/>
          <w:spacing w:val="14"/>
        </w:rPr>
        <w:t> </w:t>
      </w:r>
      <w:r>
        <w:rPr>
          <w:color w:val="6E6158"/>
        </w:rPr>
        <w:t>award</w:t>
      </w:r>
      <w:r>
        <w:rPr>
          <w:color w:val="6E6158"/>
          <w:spacing w:val="14"/>
        </w:rPr>
        <w:t> </w:t>
      </w:r>
      <w:r>
        <w:rPr>
          <w:color w:val="6E6158"/>
        </w:rPr>
        <w:t>of</w:t>
      </w:r>
      <w:r>
        <w:rPr>
          <w:color w:val="6E6158"/>
          <w:spacing w:val="14"/>
        </w:rPr>
        <w:t> </w:t>
      </w:r>
      <w:r>
        <w:rPr>
          <w:color w:val="6E6158"/>
        </w:rPr>
        <w:t>costs</w:t>
      </w:r>
      <w:r>
        <w:rPr>
          <w:color w:val="6E6158"/>
          <w:spacing w:val="14"/>
        </w:rPr>
        <w:t> </w:t>
      </w:r>
      <w:r>
        <w:rPr>
          <w:color w:val="6E6158"/>
        </w:rPr>
        <w:t>in</w:t>
      </w:r>
      <w:r>
        <w:rPr>
          <w:color w:val="6E6158"/>
          <w:spacing w:val="14"/>
        </w:rPr>
        <w:t> </w:t>
      </w:r>
      <w:r>
        <w:rPr>
          <w:color w:val="6E6158"/>
        </w:rPr>
        <w:t>a</w:t>
      </w:r>
      <w:r>
        <w:rPr>
          <w:color w:val="6E6158"/>
          <w:spacing w:val="14"/>
        </w:rPr>
        <w:t> </w:t>
      </w:r>
      <w:r>
        <w:rPr>
          <w:color w:val="6E6158"/>
        </w:rPr>
        <w:t>racial</w:t>
      </w:r>
      <w:r>
        <w:rPr>
          <w:color w:val="6E6158"/>
          <w:spacing w:val="14"/>
        </w:rPr>
        <w:t> </w:t>
      </w:r>
      <w:r>
        <w:rPr>
          <w:color w:val="6E6158"/>
        </w:rPr>
        <w:t>discrimination</w:t>
      </w:r>
      <w:r>
        <w:rPr>
          <w:color w:val="6E6158"/>
          <w:spacing w:val="14"/>
        </w:rPr>
        <w:t> </w:t>
      </w:r>
      <w:r>
        <w:rPr>
          <w:color w:val="6E6158"/>
        </w:rPr>
        <w:t>and</w:t>
      </w:r>
      <w:r>
        <w:rPr>
          <w:color w:val="6E6158"/>
          <w:spacing w:val="14"/>
        </w:rPr>
        <w:t> </w:t>
      </w:r>
      <w:r>
        <w:rPr>
          <w:color w:val="6E6158"/>
        </w:rPr>
        <w:t>retaliation</w:t>
      </w:r>
      <w:r>
        <w:rPr>
          <w:color w:val="6E6158"/>
          <w:spacing w:val="14"/>
        </w:rPr>
        <w:t> </w:t>
      </w:r>
      <w:r>
        <w:rPr>
          <w:color w:val="6E6158"/>
        </w:rPr>
        <w:t>claim in the United States District Court for the District of Nevada.</w:t>
      </w:r>
    </w:p>
    <w:p>
      <w:pPr>
        <w:pStyle w:val="BodyText"/>
        <w:spacing w:line="292" w:lineRule="auto" w:before="112"/>
        <w:ind w:right="661"/>
      </w:pPr>
      <w:r>
        <w:rPr>
          <w:color w:val="6E6158"/>
        </w:rPr>
        <w:t>Obtained a TRO and permanent injunction against an Arizona town that attempted to stop an</w:t>
      </w:r>
      <w:r>
        <w:rPr>
          <w:color w:val="6E6158"/>
          <w:spacing w:val="40"/>
        </w:rPr>
        <w:t> </w:t>
      </w:r>
      <w:r>
        <w:rPr>
          <w:color w:val="6E6158"/>
        </w:rPr>
        <w:t>RV show by refusing to issue a business license.</w:t>
      </w:r>
    </w:p>
    <w:p>
      <w:pPr>
        <w:pStyle w:val="BodyText"/>
        <w:spacing w:line="302" w:lineRule="auto" w:before="124"/>
        <w:ind w:right="677"/>
      </w:pPr>
      <w:r>
        <w:rPr>
          <w:color w:val="6E6158"/>
        </w:rPr>
        <w:t>Obtained a defense judgment and award of attorney fees against an employee who claimed</w:t>
      </w:r>
      <w:r>
        <w:rPr>
          <w:color w:val="6E6158"/>
          <w:spacing w:val="40"/>
        </w:rPr>
        <w:t> </w:t>
      </w:r>
      <w:r>
        <w:rPr>
          <w:color w:val="6E6158"/>
        </w:rPr>
        <w:t>an ownership interest in his employer’s company.</w:t>
      </w:r>
    </w:p>
    <w:p>
      <w:pPr>
        <w:pStyle w:val="BodyText"/>
        <w:spacing w:after="0" w:line="302" w:lineRule="auto"/>
        <w:sectPr>
          <w:pgSz w:w="12240" w:h="15840"/>
          <w:pgMar w:top="500" w:bottom="280" w:left="1440" w:right="1080"/>
        </w:sectPr>
      </w:pPr>
    </w:p>
    <w:p>
      <w:pPr>
        <w:pStyle w:val="BodyText"/>
        <w:spacing w:line="292" w:lineRule="auto" w:before="83"/>
        <w:ind w:right="940"/>
        <w:jc w:val="both"/>
      </w:pPr>
      <w:r>
        <w:rPr>
          <w:color w:val="6E6158"/>
        </w:rPr>
        <w:t>Obtained a defense judgment for a high-tech employer in a whistleblower claim before </w:t>
      </w:r>
      <w:r>
        <w:rPr>
          <w:color w:val="6E6158"/>
        </w:rPr>
        <w:t>the Department of Labor.</w:t>
      </w:r>
    </w:p>
    <w:p>
      <w:pPr>
        <w:pStyle w:val="BodyText"/>
        <w:spacing w:line="292" w:lineRule="auto" w:before="132"/>
        <w:ind w:right="665"/>
        <w:jc w:val="both"/>
      </w:pPr>
      <w:r>
        <w:rPr>
          <w:color w:val="6E6158"/>
        </w:rPr>
        <w:t>Obtained a defense verdict for a leading parcel delivery client in an ADA retaliation case and successfully defended that verdict before the Ninth Circuit Court of Appeals. Gribben v. United Parcel Service, 528 F.3d 1166 (9th Cir. 2008)</w:t>
      </w:r>
    </w:p>
    <w:p>
      <w:pPr>
        <w:pStyle w:val="BodyText"/>
        <w:spacing w:line="302" w:lineRule="auto" w:before="124"/>
        <w:ind w:right="512"/>
        <w:jc w:val="both"/>
      </w:pPr>
      <w:r>
        <w:rPr>
          <w:color w:val="6E6158"/>
        </w:rPr>
        <w:t>Obtained a defense judgment for a high-tech company against an employee who </w:t>
      </w:r>
      <w:r>
        <w:rPr>
          <w:color w:val="6E6158"/>
        </w:rPr>
        <w:t>complained that</w:t>
      </w:r>
      <w:r>
        <w:rPr>
          <w:color w:val="6E6158"/>
          <w:spacing w:val="28"/>
        </w:rPr>
        <w:t> </w:t>
      </w:r>
      <w:r>
        <w:rPr>
          <w:color w:val="6E6158"/>
        </w:rPr>
        <w:t>he</w:t>
      </w:r>
      <w:r>
        <w:rPr>
          <w:color w:val="6E6158"/>
          <w:spacing w:val="28"/>
        </w:rPr>
        <w:t> </w:t>
      </w:r>
      <w:r>
        <w:rPr>
          <w:color w:val="6E6158"/>
        </w:rPr>
        <w:t>was</w:t>
      </w:r>
      <w:r>
        <w:rPr>
          <w:color w:val="6E6158"/>
          <w:spacing w:val="28"/>
        </w:rPr>
        <w:t> </w:t>
      </w:r>
      <w:r>
        <w:rPr>
          <w:color w:val="6E6158"/>
        </w:rPr>
        <w:t>the</w:t>
      </w:r>
      <w:r>
        <w:rPr>
          <w:color w:val="6E6158"/>
          <w:spacing w:val="28"/>
        </w:rPr>
        <w:t> </w:t>
      </w:r>
      <w:r>
        <w:rPr>
          <w:color w:val="6E6158"/>
        </w:rPr>
        <w:t>victim</w:t>
      </w:r>
      <w:r>
        <w:rPr>
          <w:color w:val="6E6158"/>
          <w:spacing w:val="28"/>
        </w:rPr>
        <w:t> </w:t>
      </w:r>
      <w:r>
        <w:rPr>
          <w:color w:val="6E6158"/>
        </w:rPr>
        <w:t>of</w:t>
      </w:r>
      <w:r>
        <w:rPr>
          <w:color w:val="6E6158"/>
          <w:spacing w:val="28"/>
        </w:rPr>
        <w:t> </w:t>
      </w:r>
      <w:r>
        <w:rPr>
          <w:color w:val="6E6158"/>
        </w:rPr>
        <w:t>same-sex</w:t>
      </w:r>
      <w:r>
        <w:rPr>
          <w:color w:val="6E6158"/>
          <w:spacing w:val="28"/>
        </w:rPr>
        <w:t> </w:t>
      </w:r>
      <w:r>
        <w:rPr>
          <w:color w:val="6E6158"/>
        </w:rPr>
        <w:t>harassment</w:t>
      </w:r>
      <w:r>
        <w:rPr>
          <w:color w:val="6E6158"/>
          <w:spacing w:val="28"/>
        </w:rPr>
        <w:t> </w:t>
      </w:r>
      <w:r>
        <w:rPr>
          <w:color w:val="6E6158"/>
        </w:rPr>
        <w:t>and</w:t>
      </w:r>
      <w:r>
        <w:rPr>
          <w:color w:val="6E6158"/>
          <w:spacing w:val="28"/>
        </w:rPr>
        <w:t> </w:t>
      </w:r>
      <w:r>
        <w:rPr>
          <w:color w:val="6E6158"/>
        </w:rPr>
        <w:t>retaliation</w:t>
      </w:r>
      <w:r>
        <w:rPr>
          <w:color w:val="6E6158"/>
          <w:spacing w:val="28"/>
        </w:rPr>
        <w:t> </w:t>
      </w:r>
      <w:r>
        <w:rPr>
          <w:color w:val="6E6158"/>
        </w:rPr>
        <w:t>by</w:t>
      </w:r>
      <w:r>
        <w:rPr>
          <w:color w:val="6E6158"/>
          <w:spacing w:val="28"/>
        </w:rPr>
        <w:t> </w:t>
      </w:r>
      <w:r>
        <w:rPr>
          <w:color w:val="6E6158"/>
        </w:rPr>
        <w:t>the</w:t>
      </w:r>
      <w:r>
        <w:rPr>
          <w:color w:val="6E6158"/>
          <w:spacing w:val="28"/>
        </w:rPr>
        <w:t> </w:t>
      </w:r>
      <w:r>
        <w:rPr>
          <w:color w:val="6E6158"/>
        </w:rPr>
        <w:t>company</w:t>
      </w:r>
      <w:r>
        <w:rPr>
          <w:color w:val="6E6158"/>
          <w:spacing w:val="28"/>
        </w:rPr>
        <w:t> </w:t>
      </w:r>
      <w:r>
        <w:rPr>
          <w:color w:val="6E6158"/>
        </w:rPr>
        <w:t>CEO.</w:t>
      </w:r>
    </w:p>
    <w:p>
      <w:pPr>
        <w:pStyle w:val="BodyText"/>
        <w:spacing w:line="292" w:lineRule="auto" w:before="112"/>
        <w:ind w:right="611"/>
        <w:jc w:val="both"/>
      </w:pPr>
      <w:r>
        <w:rPr>
          <w:color w:val="6E6158"/>
        </w:rPr>
        <w:t>Successfully defended a food service employer against a sexual harassment lawsuit brought </w:t>
      </w:r>
      <w:r>
        <w:rPr>
          <w:color w:val="6E6158"/>
        </w:rPr>
        <w:t>by the EEOC on behalf of five former employees.</w:t>
      </w:r>
    </w:p>
    <w:p>
      <w:pPr>
        <w:pStyle w:val="BodyText"/>
        <w:spacing w:before="113"/>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27"/>
        <w:ind w:left="0"/>
        <w:rPr>
          <w:b/>
        </w:rPr>
      </w:pPr>
    </w:p>
    <w:p>
      <w:pPr>
        <w:pStyle w:val="BodyText"/>
      </w:pP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0" w:lineRule="auto" w:before="182"/>
        <w:ind w:right="2172"/>
      </w:pPr>
      <w:r>
        <w:rPr>
          <w:color w:val="6E6158"/>
        </w:rPr>
        <w:t>“Top Lawyers,(Labor and Employment Law)” Arizona Business </w:t>
      </w:r>
      <w:r>
        <w:rPr>
          <w:color w:val="6E6158"/>
        </w:rPr>
        <w:t>Magazine Southwest Super Lawyers® list, Employment &amp; Labor, 2012-2026</w:t>
      </w:r>
    </w:p>
    <w:p>
      <w:pPr>
        <w:pStyle w:val="Heading1"/>
        <w:spacing w:before="28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302" w:lineRule="auto" w:before="147"/>
        <w:ind w:right="677"/>
      </w:pPr>
      <w:r>
        <w:rPr>
          <w:color w:val="6E6158"/>
        </w:rPr>
        <w:t>David’s energetic and humorous style makes him a sought-after trainer, lecturer, and thought leader. His recent presentations and publications include:</w:t>
      </w:r>
    </w:p>
    <w:p>
      <w:pPr>
        <w:pStyle w:val="BodyText"/>
        <w:spacing w:line="292" w:lineRule="auto" w:before="186"/>
        <w:ind w:right="737"/>
      </w:pPr>
      <w:r>
        <w:rPr>
          <w:color w:val="6E6158"/>
        </w:rPr>
        <w:t>Author, “A three-part checklist for HR before terminating an employee,” Phoenix</w:t>
      </w:r>
      <w:r>
        <w:rPr>
          <w:color w:val="6E6158"/>
          <w:spacing w:val="40"/>
        </w:rPr>
        <w:t> </w:t>
      </w:r>
      <w:r>
        <w:rPr>
          <w:color w:val="6E6158"/>
        </w:rPr>
        <w:t>Business Journal, March 11, 2026</w:t>
      </w:r>
    </w:p>
    <w:p>
      <w:pPr>
        <w:pStyle w:val="BodyText"/>
        <w:spacing w:before="123"/>
      </w:pPr>
      <w:r>
        <w:rPr>
          <w:color w:val="6E6158"/>
        </w:rPr>
        <w:t>Presenter,</w:t>
      </w:r>
      <w:r>
        <w:rPr>
          <w:color w:val="6E6158"/>
          <w:spacing w:val="14"/>
        </w:rPr>
        <w:t> </w:t>
      </w:r>
      <w:r>
        <w:rPr>
          <w:color w:val="6E6158"/>
        </w:rPr>
        <w:t>“Effective</w:t>
      </w:r>
      <w:r>
        <w:rPr>
          <w:color w:val="6E6158"/>
          <w:spacing w:val="14"/>
        </w:rPr>
        <w:t> </w:t>
      </w:r>
      <w:r>
        <w:rPr>
          <w:color w:val="6E6158"/>
        </w:rPr>
        <w:t>Investigations,”</w:t>
      </w:r>
      <w:r>
        <w:rPr>
          <w:color w:val="6E6158"/>
          <w:spacing w:val="15"/>
        </w:rPr>
        <w:t> </w:t>
      </w:r>
      <w:r>
        <w:rPr>
          <w:color w:val="6E6158"/>
        </w:rPr>
        <w:t>AZSHRM</w:t>
      </w:r>
      <w:r>
        <w:rPr>
          <w:color w:val="6E6158"/>
          <w:spacing w:val="14"/>
        </w:rPr>
        <w:t> </w:t>
      </w:r>
      <w:r>
        <w:rPr>
          <w:color w:val="6E6158"/>
        </w:rPr>
        <w:t>Law</w:t>
      </w:r>
      <w:r>
        <w:rPr>
          <w:color w:val="6E6158"/>
          <w:spacing w:val="15"/>
        </w:rPr>
        <w:t> </w:t>
      </w:r>
      <w:r>
        <w:rPr>
          <w:color w:val="6E6158"/>
        </w:rPr>
        <w:t>and</w:t>
      </w:r>
      <w:r>
        <w:rPr>
          <w:color w:val="6E6158"/>
          <w:spacing w:val="14"/>
        </w:rPr>
        <w:t> </w:t>
      </w:r>
      <w:r>
        <w:rPr>
          <w:color w:val="6E6158"/>
        </w:rPr>
        <w:t>Legislative</w:t>
      </w:r>
      <w:r>
        <w:rPr>
          <w:color w:val="6E6158"/>
          <w:spacing w:val="15"/>
        </w:rPr>
        <w:t> </w:t>
      </w:r>
      <w:r>
        <w:rPr>
          <w:color w:val="6E6158"/>
        </w:rPr>
        <w:t>Conference,</w:t>
      </w:r>
      <w:r>
        <w:rPr>
          <w:color w:val="6E6158"/>
          <w:spacing w:val="14"/>
        </w:rPr>
        <w:t> </w:t>
      </w:r>
      <w:r>
        <w:rPr>
          <w:color w:val="6E6158"/>
        </w:rPr>
        <w:t>February</w:t>
      </w:r>
      <w:r>
        <w:rPr>
          <w:color w:val="6E6158"/>
          <w:spacing w:val="14"/>
        </w:rPr>
        <w:t> </w:t>
      </w:r>
      <w:r>
        <w:rPr>
          <w:color w:val="6E6158"/>
        </w:rPr>
        <w:t>20,</w:t>
      </w:r>
      <w:r>
        <w:rPr>
          <w:color w:val="6E6158"/>
          <w:spacing w:val="15"/>
        </w:rPr>
        <w:t> </w:t>
      </w:r>
      <w:r>
        <w:rPr>
          <w:color w:val="6E6158"/>
          <w:spacing w:val="-4"/>
        </w:rPr>
        <w:t>2026</w:t>
      </w:r>
    </w:p>
    <w:p>
      <w:pPr>
        <w:pStyle w:val="BodyText"/>
        <w:spacing w:line="292" w:lineRule="auto" w:before="182"/>
        <w:ind w:right="677"/>
      </w:pPr>
      <w:r>
        <w:rPr>
          <w:color w:val="6E6158"/>
        </w:rPr>
        <w:t>Co-Author, “</w:t>
      </w:r>
      <w:hyperlink r:id="rId11">
        <w:r>
          <w:rPr>
            <w:color w:val="F5821F"/>
          </w:rPr>
          <w:t>The End of Disparate Impact? DOJ Overhauls Federal Civil-Rights Enforcement,</w:t>
        </w:r>
      </w:hyperlink>
      <w:r>
        <w:rPr>
          <w:color w:val="F5821F"/>
        </w:rPr>
        <w:t> </w:t>
      </w:r>
      <w:hyperlink r:id="rId11">
        <w:r>
          <w:rPr>
            <w:color w:val="F5821F"/>
          </w:rPr>
          <w:t>Reshaping Compliance Obligations for Federally Funded Entities</w:t>
        </w:r>
      </w:hyperlink>
      <w:r>
        <w:rPr>
          <w:color w:val="6E6158"/>
        </w:rPr>
        <w:t>,” Fennemore Blog,</w:t>
      </w:r>
      <w:r>
        <w:rPr>
          <w:color w:val="6E6158"/>
          <w:spacing w:val="40"/>
        </w:rPr>
        <w:t> </w:t>
      </w:r>
      <w:r>
        <w:rPr>
          <w:color w:val="6E6158"/>
        </w:rPr>
        <w:t>December</w:t>
      </w:r>
      <w:r>
        <w:rPr>
          <w:color w:val="6E6158"/>
          <w:spacing w:val="40"/>
        </w:rPr>
        <w:t> </w:t>
      </w:r>
      <w:r>
        <w:rPr>
          <w:color w:val="6E6158"/>
        </w:rPr>
        <w:t>15, 2025</w:t>
      </w:r>
    </w:p>
    <w:p>
      <w:pPr>
        <w:pStyle w:val="BodyText"/>
        <w:spacing w:before="132"/>
      </w:pPr>
      <w:r>
        <w:rPr>
          <w:color w:val="6E6158"/>
        </w:rPr>
        <w:t>Co-Author,</w:t>
      </w:r>
      <w:r>
        <w:rPr>
          <w:color w:val="6E6158"/>
          <w:spacing w:val="9"/>
        </w:rPr>
        <w:t> </w:t>
      </w:r>
      <w:r>
        <w:rPr>
          <w:color w:val="6E6158"/>
        </w:rPr>
        <w:t>“‘</w:t>
      </w:r>
      <w:hyperlink r:id="rId12">
        <w:r>
          <w:rPr>
            <w:color w:val="F5821F"/>
          </w:rPr>
          <w:t>One</w:t>
        </w:r>
        <w:r>
          <w:rPr>
            <w:color w:val="F5821F"/>
            <w:spacing w:val="9"/>
          </w:rPr>
          <w:t> </w:t>
        </w:r>
        <w:r>
          <w:rPr>
            <w:color w:val="F5821F"/>
          </w:rPr>
          <w:t>Big</w:t>
        </w:r>
        <w:r>
          <w:rPr>
            <w:color w:val="F5821F"/>
            <w:spacing w:val="9"/>
          </w:rPr>
          <w:t> </w:t>
        </w:r>
        <w:r>
          <w:rPr>
            <w:color w:val="F5821F"/>
          </w:rPr>
          <w:t>Beautiful</w:t>
        </w:r>
        <w:r>
          <w:rPr>
            <w:color w:val="F5821F"/>
            <w:spacing w:val="9"/>
          </w:rPr>
          <w:t> </w:t>
        </w:r>
        <w:r>
          <w:rPr>
            <w:color w:val="F5821F"/>
          </w:rPr>
          <w:t>Bill’</w:t>
        </w:r>
        <w:r>
          <w:rPr>
            <w:color w:val="F5821F"/>
            <w:spacing w:val="9"/>
          </w:rPr>
          <w:t> </w:t>
        </w:r>
        <w:r>
          <w:rPr>
            <w:color w:val="F5821F"/>
          </w:rPr>
          <w:t>–</w:t>
        </w:r>
        <w:r>
          <w:rPr>
            <w:color w:val="F5821F"/>
            <w:spacing w:val="9"/>
          </w:rPr>
          <w:t> </w:t>
        </w:r>
        <w:r>
          <w:rPr>
            <w:color w:val="F5821F"/>
          </w:rPr>
          <w:t>what</w:t>
        </w:r>
        <w:r>
          <w:rPr>
            <w:color w:val="F5821F"/>
            <w:spacing w:val="9"/>
          </w:rPr>
          <w:t> </w:t>
        </w:r>
        <w:r>
          <w:rPr>
            <w:color w:val="F5821F"/>
          </w:rPr>
          <w:t>employers</w:t>
        </w:r>
        <w:r>
          <w:rPr>
            <w:color w:val="F5821F"/>
            <w:spacing w:val="9"/>
          </w:rPr>
          <w:t> </w:t>
        </w:r>
        <w:r>
          <w:rPr>
            <w:color w:val="F5821F"/>
          </w:rPr>
          <w:t>need</w:t>
        </w:r>
        <w:r>
          <w:rPr>
            <w:color w:val="F5821F"/>
            <w:spacing w:val="9"/>
          </w:rPr>
          <w:t> </w:t>
        </w:r>
        <w:r>
          <w:rPr>
            <w:color w:val="F5821F"/>
          </w:rPr>
          <w:t>to</w:t>
        </w:r>
        <w:r>
          <w:rPr>
            <w:color w:val="F5821F"/>
            <w:spacing w:val="10"/>
          </w:rPr>
          <w:t> </w:t>
        </w:r>
        <w:r>
          <w:rPr>
            <w:color w:val="F5821F"/>
          </w:rPr>
          <w:t>know</w:t>
        </w:r>
      </w:hyperlink>
      <w:r>
        <w:rPr>
          <w:color w:val="6E6158"/>
        </w:rPr>
        <w:t>,”</w:t>
      </w:r>
      <w:r>
        <w:rPr>
          <w:color w:val="6E6158"/>
          <w:spacing w:val="9"/>
        </w:rPr>
        <w:t> </w:t>
      </w:r>
      <w:r>
        <w:rPr>
          <w:color w:val="6E6158"/>
        </w:rPr>
        <w:t>AZ</w:t>
      </w:r>
      <w:r>
        <w:rPr>
          <w:color w:val="6E6158"/>
          <w:spacing w:val="9"/>
        </w:rPr>
        <w:t> </w:t>
      </w:r>
      <w:r>
        <w:rPr>
          <w:color w:val="6E6158"/>
        </w:rPr>
        <w:t>Big</w:t>
      </w:r>
      <w:r>
        <w:rPr>
          <w:color w:val="6E6158"/>
          <w:spacing w:val="9"/>
        </w:rPr>
        <w:t> </w:t>
      </w:r>
      <w:r>
        <w:rPr>
          <w:color w:val="6E6158"/>
        </w:rPr>
        <w:t>Media,</w:t>
      </w:r>
      <w:r>
        <w:rPr>
          <w:color w:val="6E6158"/>
          <w:spacing w:val="9"/>
        </w:rPr>
        <w:t> </w:t>
      </w:r>
      <w:r>
        <w:rPr>
          <w:color w:val="6E6158"/>
        </w:rPr>
        <w:t>July</w:t>
      </w:r>
      <w:r>
        <w:rPr>
          <w:color w:val="6E6158"/>
          <w:spacing w:val="9"/>
        </w:rPr>
        <w:t> </w:t>
      </w:r>
      <w:r>
        <w:rPr>
          <w:color w:val="6E6158"/>
        </w:rPr>
        <w:t>26,</w:t>
      </w:r>
      <w:r>
        <w:rPr>
          <w:color w:val="6E6158"/>
          <w:spacing w:val="9"/>
        </w:rPr>
        <w:t> </w:t>
      </w:r>
      <w:r>
        <w:rPr>
          <w:color w:val="6E6158"/>
          <w:spacing w:val="-4"/>
        </w:rPr>
        <w:t>2025</w:t>
      </w:r>
    </w:p>
    <w:p>
      <w:pPr>
        <w:pStyle w:val="BodyText"/>
        <w:spacing w:line="292" w:lineRule="auto" w:before="174"/>
        <w:ind w:right="661"/>
      </w:pPr>
      <w:r>
        <w:rPr>
          <w:color w:val="6E6158"/>
        </w:rPr>
        <w:t>Author, “</w:t>
      </w:r>
      <w:hyperlink r:id="rId13">
        <w:r>
          <w:rPr>
            <w:color w:val="F5821F"/>
          </w:rPr>
          <w:t>Clean the slate: DOL’s PAID program lets employers quickly self-correct</w:t>
        </w:r>
      </w:hyperlink>
      <w:r>
        <w:rPr>
          <w:color w:val="6E6158"/>
        </w:rPr>
        <w:t>,” AZ Big Media, July 25, 2025</w:t>
      </w:r>
    </w:p>
    <w:p>
      <w:pPr>
        <w:pStyle w:val="BodyText"/>
        <w:spacing w:line="302" w:lineRule="auto" w:before="123"/>
        <w:ind w:right="661"/>
      </w:pPr>
      <w:r>
        <w:rPr>
          <w:color w:val="6E6158"/>
        </w:rPr>
        <w:t>Author, “</w:t>
      </w:r>
      <w:hyperlink r:id="rId14">
        <w:r>
          <w:rPr>
            <w:color w:val="F5821F"/>
          </w:rPr>
          <w:t>What Does the Revived PAID Program Mean for Employers?</w:t>
        </w:r>
      </w:hyperlink>
      <w:r>
        <w:rPr>
          <w:color w:val="6E6158"/>
        </w:rPr>
        <w:t>,” Greater Phoenix InBusiness Magazine, July 25, 2025</w:t>
      </w:r>
    </w:p>
    <w:p>
      <w:pPr>
        <w:pStyle w:val="BodyText"/>
        <w:spacing w:line="292" w:lineRule="auto" w:before="113"/>
        <w:ind w:right="677"/>
      </w:pPr>
      <w:r>
        <w:rPr>
          <w:color w:val="6E6158"/>
        </w:rPr>
        <w:t>Author, “</w:t>
      </w:r>
      <w:hyperlink r:id="rId15">
        <w:r>
          <w:rPr>
            <w:color w:val="F5821F"/>
          </w:rPr>
          <w:t>The Wage and Hour Division of the Department of Labor Wants to Help</w:t>
        </w:r>
      </w:hyperlink>
      <w:r>
        <w:rPr>
          <w:color w:val="6E6158"/>
        </w:rPr>
        <w:t>,” Fennemore Blog, July 24, 2025</w:t>
      </w:r>
    </w:p>
    <w:p>
      <w:pPr>
        <w:pStyle w:val="BodyText"/>
        <w:spacing w:line="302" w:lineRule="auto" w:before="123"/>
      </w:pPr>
      <w:r>
        <w:rPr>
          <w:color w:val="6E6158"/>
        </w:rPr>
        <w:t>Co-Author, “</w:t>
      </w:r>
      <w:hyperlink r:id="rId16">
        <w:r>
          <w:rPr>
            <w:color w:val="F5821F"/>
          </w:rPr>
          <w:t>Supreme Court Confirms: Title VII protects minority and majority members </w:t>
        </w:r>
        <w:r>
          <w:rPr>
            <w:color w:val="F5821F"/>
          </w:rPr>
          <w:t>equally</w:t>
        </w:r>
      </w:hyperlink>
      <w:r>
        <w:rPr>
          <w:color w:val="6E6158"/>
        </w:rPr>
        <w:t>,”</w:t>
      </w:r>
      <w:r>
        <w:rPr>
          <w:color w:val="6E6158"/>
          <w:spacing w:val="40"/>
        </w:rPr>
        <w:t> </w:t>
      </w:r>
      <w:r>
        <w:rPr>
          <w:color w:val="6E6158"/>
        </w:rPr>
        <w:t>Fennemore Blog, June 6, 2025</w:t>
      </w:r>
    </w:p>
    <w:p>
      <w:pPr>
        <w:pStyle w:val="BodyText"/>
        <w:spacing w:line="292" w:lineRule="auto" w:before="113"/>
      </w:pPr>
      <w:r>
        <w:rPr>
          <w:color w:val="6E6158"/>
        </w:rPr>
        <w:t>Presenter, Animals as Accommodations, Arizona SHRM Employment and Legislative </w:t>
      </w:r>
      <w:r>
        <w:rPr>
          <w:color w:val="6E6158"/>
        </w:rPr>
        <w:t>Conference, February 2025</w:t>
      </w:r>
    </w:p>
    <w:p>
      <w:pPr>
        <w:pStyle w:val="BodyText"/>
        <w:spacing w:line="302" w:lineRule="auto" w:before="124"/>
        <w:ind w:right="737"/>
      </w:pP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before="112"/>
        <w:ind w:right="677"/>
      </w:pPr>
      <w:r>
        <w:rPr>
          <w:color w:val="6E6158"/>
        </w:rPr>
        <w:t>Presenter, Violence &amp; ADA: Exploring the Intersection of ADA, Mental Illness, &amp; Employee Safety,</w:t>
      </w:r>
      <w:r>
        <w:rPr>
          <w:color w:val="6E6158"/>
          <w:spacing w:val="40"/>
        </w:rPr>
        <w:t> </w:t>
      </w:r>
      <w:r>
        <w:rPr>
          <w:color w:val="6E6158"/>
        </w:rPr>
        <w:t>Arizona Industry Liaison Group, 49th Annual Conference, October 2024</w:t>
      </w:r>
    </w:p>
    <w:p>
      <w:pPr>
        <w:pStyle w:val="BodyText"/>
        <w:spacing w:before="124"/>
      </w:pP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after="0"/>
        <w:sectPr>
          <w:pgSz w:w="12240" w:h="15840"/>
          <w:pgMar w:top="500" w:bottom="280" w:left="1440" w:right="1080"/>
        </w:sectPr>
      </w:pPr>
    </w:p>
    <w:p>
      <w:pPr>
        <w:pStyle w:val="BodyText"/>
        <w:spacing w:line="292" w:lineRule="auto" w:before="83"/>
        <w:ind w:right="677"/>
      </w:pPr>
      <w:r>
        <w:rPr>
          <w:color w:val="6E6158"/>
        </w:rPr>
        <w:t>Presenter, Violence and the ADA, Arizona SHRM Employment Law &amp; Legislative Conference, February 2024</w:t>
      </w:r>
    </w:p>
    <w:p>
      <w:pPr>
        <w:pStyle w:val="BodyText"/>
        <w:spacing w:line="292" w:lineRule="auto" w:before="132"/>
        <w:ind w:right="677"/>
      </w:pPr>
      <w:r>
        <w:rPr>
          <w:color w:val="6E6158"/>
        </w:rPr>
        <w:t>Presenter, Cultivating HR Excellence, 10 Qualities that Make HR Superstars in the Eyes of Outside</w:t>
      </w:r>
      <w:r>
        <w:rPr>
          <w:color w:val="6E6158"/>
          <w:spacing w:val="40"/>
        </w:rPr>
        <w:t> </w:t>
      </w:r>
      <w:r>
        <w:rPr>
          <w:color w:val="6E6158"/>
        </w:rPr>
        <w:t>Counsel,</w:t>
      </w:r>
      <w:r>
        <w:rPr>
          <w:color w:val="6E6158"/>
          <w:spacing w:val="40"/>
        </w:rPr>
        <w:t> </w:t>
      </w:r>
      <w:r>
        <w:rPr>
          <w:color w:val="6E6158"/>
        </w:rPr>
        <w:t>Arizona</w:t>
      </w:r>
      <w:r>
        <w:rPr>
          <w:color w:val="6E6158"/>
          <w:spacing w:val="40"/>
        </w:rPr>
        <w:t> </w:t>
      </w:r>
      <w:r>
        <w:rPr>
          <w:color w:val="6E6158"/>
        </w:rPr>
        <w:t>SHRM</w:t>
      </w:r>
      <w:r>
        <w:rPr>
          <w:color w:val="6E6158"/>
          <w:spacing w:val="40"/>
        </w:rPr>
        <w:t> </w:t>
      </w:r>
      <w:r>
        <w:rPr>
          <w:color w:val="6E6158"/>
        </w:rPr>
        <w:t>Employment</w:t>
      </w:r>
      <w:r>
        <w:rPr>
          <w:color w:val="6E6158"/>
          <w:spacing w:val="40"/>
        </w:rPr>
        <w:t> </w:t>
      </w:r>
      <w:r>
        <w:rPr>
          <w:color w:val="6E6158"/>
        </w:rPr>
        <w:t>Law</w:t>
      </w:r>
      <w:r>
        <w:rPr>
          <w:color w:val="6E6158"/>
          <w:spacing w:val="40"/>
        </w:rPr>
        <w:t> </w:t>
      </w:r>
      <w:r>
        <w:rPr>
          <w:color w:val="6E6158"/>
        </w:rPr>
        <w:t>&amp;</w:t>
      </w:r>
      <w:r>
        <w:rPr>
          <w:color w:val="6E6158"/>
          <w:spacing w:val="40"/>
        </w:rPr>
        <w:t> </w:t>
      </w:r>
      <w:r>
        <w:rPr>
          <w:color w:val="6E6158"/>
        </w:rPr>
        <w:t>Legislative</w:t>
      </w:r>
      <w:r>
        <w:rPr>
          <w:color w:val="6E6158"/>
          <w:spacing w:val="40"/>
        </w:rPr>
        <w:t> </w:t>
      </w:r>
      <w:r>
        <w:rPr>
          <w:color w:val="6E6158"/>
        </w:rPr>
        <w:t>Conference,</w:t>
      </w:r>
      <w:r>
        <w:rPr>
          <w:color w:val="6E6158"/>
          <w:spacing w:val="40"/>
        </w:rPr>
        <w:t> </w:t>
      </w:r>
      <w:r>
        <w:rPr>
          <w:color w:val="6E6158"/>
        </w:rPr>
        <w:t>February</w:t>
      </w:r>
      <w:r>
        <w:rPr>
          <w:color w:val="6E6158"/>
          <w:spacing w:val="40"/>
        </w:rPr>
        <w:t> </w:t>
      </w:r>
      <w:r>
        <w:rPr>
          <w:color w:val="6E6158"/>
        </w:rPr>
        <w:t>2024</w:t>
      </w:r>
    </w:p>
    <w:p>
      <w:pPr>
        <w:pStyle w:val="BodyText"/>
        <w:spacing w:before="123"/>
      </w:pP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before="174"/>
      </w:pPr>
      <w:r>
        <w:rPr>
          <w:color w:val="6E6158"/>
        </w:rPr>
        <w:t>Presenter,</w:t>
      </w:r>
      <w:r>
        <w:rPr>
          <w:color w:val="6E6158"/>
          <w:spacing w:val="10"/>
        </w:rPr>
        <w:t> </w:t>
      </w:r>
      <w:r>
        <w:rPr>
          <w:color w:val="6E6158"/>
        </w:rPr>
        <w:t>Finding</w:t>
      </w:r>
      <w:r>
        <w:rPr>
          <w:color w:val="6E6158"/>
          <w:spacing w:val="11"/>
        </w:rPr>
        <w:t> </w:t>
      </w:r>
      <w:r>
        <w:rPr>
          <w:color w:val="6E6158"/>
        </w:rPr>
        <w:t>and</w:t>
      </w:r>
      <w:r>
        <w:rPr>
          <w:color w:val="6E6158"/>
          <w:spacing w:val="11"/>
        </w:rPr>
        <w:t> </w:t>
      </w:r>
      <w:r>
        <w:rPr>
          <w:color w:val="6E6158"/>
        </w:rPr>
        <w:t>Keeping</w:t>
      </w:r>
      <w:r>
        <w:rPr>
          <w:color w:val="6E6158"/>
          <w:spacing w:val="11"/>
        </w:rPr>
        <w:t> </w:t>
      </w:r>
      <w:r>
        <w:rPr>
          <w:color w:val="6E6158"/>
        </w:rPr>
        <w:t>the</w:t>
      </w:r>
      <w:r>
        <w:rPr>
          <w:color w:val="6E6158"/>
          <w:spacing w:val="11"/>
        </w:rPr>
        <w:t> </w:t>
      </w:r>
      <w:r>
        <w:rPr>
          <w:color w:val="6E6158"/>
        </w:rPr>
        <w:t>Best</w:t>
      </w:r>
      <w:r>
        <w:rPr>
          <w:color w:val="6E6158"/>
          <w:spacing w:val="11"/>
        </w:rPr>
        <w:t> </w:t>
      </w:r>
      <w:r>
        <w:rPr>
          <w:color w:val="6E6158"/>
        </w:rPr>
        <w:t>Talent,</w:t>
      </w:r>
      <w:r>
        <w:rPr>
          <w:color w:val="6E6158"/>
          <w:spacing w:val="11"/>
        </w:rPr>
        <w:t> </w:t>
      </w:r>
      <w:r>
        <w:rPr>
          <w:color w:val="6E6158"/>
        </w:rPr>
        <w:t>Arizona</w:t>
      </w:r>
      <w:r>
        <w:rPr>
          <w:color w:val="6E6158"/>
          <w:spacing w:val="11"/>
        </w:rPr>
        <w:t> </w:t>
      </w:r>
      <w:r>
        <w:rPr>
          <w:color w:val="6E6158"/>
        </w:rPr>
        <w:t>SHRM</w:t>
      </w:r>
      <w:r>
        <w:rPr>
          <w:color w:val="6E6158"/>
          <w:spacing w:val="11"/>
        </w:rPr>
        <w:t> </w:t>
      </w:r>
      <w:r>
        <w:rPr>
          <w:color w:val="6E6158"/>
        </w:rPr>
        <w:t>Annual</w:t>
      </w:r>
      <w:r>
        <w:rPr>
          <w:color w:val="6E6158"/>
          <w:spacing w:val="11"/>
        </w:rPr>
        <w:t> </w:t>
      </w:r>
      <w:r>
        <w:rPr>
          <w:color w:val="6E6158"/>
        </w:rPr>
        <w:t>Conference,</w:t>
      </w:r>
      <w:r>
        <w:rPr>
          <w:color w:val="6E6158"/>
          <w:spacing w:val="11"/>
        </w:rPr>
        <w:t> </w:t>
      </w:r>
      <w:r>
        <w:rPr>
          <w:color w:val="6E6158"/>
        </w:rPr>
        <w:t>August</w:t>
      </w:r>
      <w:r>
        <w:rPr>
          <w:color w:val="6E6158"/>
          <w:spacing w:val="11"/>
        </w:rPr>
        <w:t> </w:t>
      </w:r>
      <w:r>
        <w:rPr>
          <w:color w:val="6E6158"/>
          <w:spacing w:val="-4"/>
        </w:rPr>
        <w:t>2023</w:t>
      </w:r>
    </w:p>
    <w:p>
      <w:pPr>
        <w:pStyle w:val="BodyText"/>
        <w:spacing w:line="292" w:lineRule="auto" w:before="182"/>
        <w:ind w:right="737"/>
      </w:pP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line="302" w:lineRule="auto" w:before="124"/>
        <w:ind w:right="677"/>
      </w:pPr>
      <w:r>
        <w:rPr>
          <w:color w:val="6E6158"/>
        </w:rPr>
        <w:t>Presenter, COVID-19 Workplace Issues and the Future, State Bar of Arizona Annual Employment and Labor Law Fall Seminar, October 2021</w:t>
      </w:r>
    </w:p>
    <w:p>
      <w:pPr>
        <w:pStyle w:val="BodyText"/>
        <w:spacing w:line="292" w:lineRule="auto" w:before="113"/>
        <w:ind w:right="677"/>
      </w:pPr>
      <w:r>
        <w:rPr>
          <w:color w:val="6E6158"/>
        </w:rPr>
        <w:t>Presenter, COVID-19 Changes to Arizona Employment Law, Arizona Paralegal Association, </w:t>
      </w:r>
      <w:r>
        <w:rPr>
          <w:color w:val="6E6158"/>
        </w:rPr>
        <w:t>May </w:t>
      </w:r>
      <w:r>
        <w:rPr>
          <w:color w:val="6E6158"/>
          <w:spacing w:val="-4"/>
        </w:rPr>
        <w:t>2020</w:t>
      </w:r>
    </w:p>
    <w:p>
      <w:pPr>
        <w:pStyle w:val="BodyText"/>
        <w:spacing w:line="302" w:lineRule="auto" w:before="123"/>
        <w:ind w:right="677"/>
      </w:pPr>
      <w:r>
        <w:rPr>
          <w:color w:val="6E6158"/>
        </w:rPr>
        <w:t>Presenter, The Rise of Local Employment Law, States and Municipalities Take Control in Light of Federal Gridlock, State Bar of Arizona Annual Convention, June 2018</w:t>
      </w:r>
    </w:p>
    <w:p>
      <w:pPr>
        <w:pStyle w:val="BodyText"/>
        <w:spacing w:before="102"/>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292" w:lineRule="auto"/>
        <w:ind w:right="677"/>
      </w:pPr>
      <w:r>
        <w:rPr>
          <w:color w:val="6E6158"/>
        </w:rPr>
        <w:t>Scoutmaster, Team Coach, Climbing Instructor, and District Eagle Coordinator, Boy Scouts of </w:t>
      </w:r>
      <w:r>
        <w:rPr>
          <w:color w:val="6E6158"/>
          <w:spacing w:val="-2"/>
        </w:rPr>
        <w:t>America</w:t>
      </w:r>
    </w:p>
    <w:p>
      <w:pPr>
        <w:pStyle w:val="BodyText"/>
        <w:spacing w:line="420" w:lineRule="auto" w:before="132"/>
        <w:ind w:right="4982"/>
      </w:pPr>
      <w:r>
        <w:rPr>
          <w:color w:val="6E6158"/>
        </w:rPr>
        <w:t>Homeroom Parent, Capital Elementary </w:t>
      </w:r>
      <w:r>
        <w:rPr>
          <w:color w:val="6E6158"/>
        </w:rPr>
        <w:t>School Court Advisor, Children’s Law Center</w:t>
      </w:r>
    </w:p>
    <w:p>
      <w:pPr>
        <w:pStyle w:val="BodyText"/>
        <w:spacing w:line="420" w:lineRule="auto"/>
        <w:ind w:right="3858"/>
      </w:pPr>
      <w:r>
        <w:rPr>
          <w:color w:val="6E6158"/>
        </w:rPr>
        <w:t>Lawyer Representative, Ninth Circuit Court of </w:t>
      </w:r>
      <w:r>
        <w:rPr>
          <w:color w:val="6E6158"/>
        </w:rPr>
        <w:t>Appeals Member, Volunteer Lawyer Program</w:t>
      </w:r>
    </w:p>
    <w:p>
      <w:pPr>
        <w:pStyle w:val="BodyText"/>
        <w:spacing w:before="5"/>
      </w:pP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0" w:lineRule="auto" w:before="174"/>
        <w:ind w:right="2172"/>
      </w:pP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289"/>
      </w:pPr>
      <w:r>
        <w:rPr>
          <w:color w:val="FF8100"/>
          <w:spacing w:val="-2"/>
        </w:rPr>
        <w:t>ADMISSIONS</w:t>
      </w:r>
    </w:p>
    <w:p>
      <w:pPr>
        <w:pStyle w:val="BodyText"/>
        <w:spacing w:before="27"/>
        <w:ind w:left="0"/>
        <w:rPr>
          <w:b/>
        </w:rPr>
      </w:pPr>
    </w:p>
    <w:p>
      <w:pPr>
        <w:pStyle w:val="BodyText"/>
        <w:spacing w:line="420" w:lineRule="auto"/>
        <w:ind w:right="8550"/>
      </w:pPr>
      <w:r>
        <w:rPr>
          <w:color w:val="6E6158"/>
          <w:spacing w:val="-2"/>
        </w:rPr>
        <w:t>Arizona </w:t>
      </w:r>
      <w:r>
        <w:rPr>
          <w:color w:val="6E6158"/>
          <w:spacing w:val="-4"/>
        </w:rPr>
        <w:t>Utah</w:t>
      </w:r>
    </w:p>
    <w:p>
      <w:pPr>
        <w:pStyle w:val="BodyText"/>
        <w:spacing w:line="231" w:lineRule="exact"/>
      </w:pP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82"/>
      </w:pP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74"/>
      </w:pP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74"/>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171"/>
        <w:ind w:left="0"/>
        <w:rPr>
          <w:sz w:val="24"/>
        </w:rPr>
      </w:pPr>
    </w:p>
    <w:p>
      <w:pPr>
        <w:pStyle w:val="Heading1"/>
      </w:pPr>
      <w:r>
        <w:rPr>
          <w:color w:val="FF8100"/>
          <w:spacing w:val="-2"/>
        </w:rPr>
        <w:t>LANGUAGES</w:t>
      </w:r>
    </w:p>
    <w:p>
      <w:pPr>
        <w:pStyle w:val="Heading1"/>
        <w:spacing w:after="0"/>
        <w:sectPr>
          <w:pgSz w:w="12240" w:h="15840"/>
          <w:pgMar w:top="500" w:bottom="280" w:left="1440" w:right="1080"/>
        </w:sectPr>
      </w:pPr>
    </w:p>
    <w:p>
      <w:pPr>
        <w:pStyle w:val="BodyText"/>
        <w:spacing w:before="83"/>
      </w:pP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azbigmedia.com/business/clean-the-slate-dols-paid-program-lets-employers-quickly-self-correct/" TargetMode="External"/><Relationship Id="rId14" Type="http://schemas.openxmlformats.org/officeDocument/2006/relationships/hyperlink" Target="https://inbusinessphx.com/government-compliance/what-does-the-revived-paid-program-mean-for-employers" TargetMode="External"/><Relationship Id="rId15" Type="http://schemas.openxmlformats.org/officeDocument/2006/relationships/hyperlink" Target="https://www.fennemorelaw.com/the-wage-and-hour-division-of-the-department-of-labor-wants-to-help/" TargetMode="External"/><Relationship Id="rId16" Type="http://schemas.openxmlformats.org/officeDocument/2006/relationships/hyperlink" Target="https://www.fennemorelaw.com/supreme-court-confirms-title-vii-protects-minority-and-majority-members-eq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2026-06-12T09:42:02Z</dcterms:created>
  <dcterms:modified xsi:type="dcterms:W3CDTF">2026-06-12T09:42:02Z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