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erek Pfaff web header Fennemo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DEREK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PFAFF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602.916.5398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602.916.5598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dpfaff@fennemorelaw.com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Derek Pfaff web header Fennemor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DEREK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PFAFF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602.916.5398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602.916.5598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dpfaff@fennemorelaw.com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DEREK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J.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PFAFF</w:t>
      </w:r>
    </w:p>
    <w:p>
      <w:pPr>
        <w:pStyle w:val="BodyText"/>
        <w:spacing w:line="297" w:lineRule="auto" w:before="147"/>
        <w:ind w:right="712"/>
      </w:pPr>
      <w:r>
        <w:rPr>
          <w:color w:val="6E6158"/>
        </w:rPr>
        <w:t>Derek is a real estate attorney focusing on matters including acquisitions and dispositions of</w:t>
      </w:r>
      <w:r>
        <w:rPr>
          <w:color w:val="6E6158"/>
          <w:spacing w:val="40"/>
        </w:rPr>
        <w:t> </w:t>
      </w:r>
      <w:r>
        <w:rPr>
          <w:color w:val="6E6158"/>
        </w:rPr>
        <w:t>improved and unimproved commercial properties as well as farm and ranch properties,</w:t>
      </w:r>
      <w:r>
        <w:rPr>
          <w:color w:val="6E6158"/>
          <w:spacing w:val="40"/>
        </w:rPr>
        <w:t> </w:t>
      </w:r>
      <w:r>
        <w:rPr>
          <w:color w:val="6E6158"/>
        </w:rPr>
        <w:t>shopping center development, commercial leasing, and real estate finance. He handles</w:t>
      </w:r>
      <w:r>
        <w:rPr>
          <w:color w:val="6E6158"/>
          <w:spacing w:val="40"/>
        </w:rPr>
        <w:t> </w:t>
      </w:r>
      <w:r>
        <w:rPr>
          <w:color w:val="6E6158"/>
        </w:rPr>
        <w:t>conventional real estate lending, loan work-outs and mezzanine loan transactions. Derek’s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transit</w:t>
      </w:r>
      <w:r>
        <w:rPr>
          <w:color w:val="6E6158"/>
          <w:spacing w:val="40"/>
        </w:rPr>
        <w:t> </w:t>
      </w:r>
      <w:r>
        <w:rPr>
          <w:color w:val="6E6158"/>
        </w:rPr>
        <w:t>facilities,</w:t>
      </w:r>
      <w:r>
        <w:rPr>
          <w:color w:val="6E6158"/>
          <w:spacing w:val="40"/>
        </w:rPr>
        <w:t> </w:t>
      </w:r>
      <w:r>
        <w:rPr>
          <w:color w:val="6E6158"/>
        </w:rPr>
        <w:t>utilities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condemnation.</w:t>
      </w:r>
    </w:p>
    <w:p>
      <w:pPr>
        <w:pStyle w:val="BodyText"/>
        <w:spacing w:line="295" w:lineRule="auto" w:before="191"/>
        <w:ind w:right="712"/>
      </w:pPr>
      <w:r>
        <w:rPr>
          <w:color w:val="6E6158"/>
        </w:rPr>
        <w:t>Derek also works on the real estate aspects of renewable energy projects, specifically solar and</w:t>
      </w:r>
      <w:r>
        <w:rPr>
          <w:color w:val="6E6158"/>
          <w:spacing w:val="40"/>
        </w:rPr>
        <w:t> </w:t>
      </w:r>
      <w:r>
        <w:rPr>
          <w:color w:val="6E6158"/>
        </w:rPr>
        <w:t>wind, including site acquisition and leasing. He is adept at drafting and negotiating purchase</w:t>
      </w:r>
      <w:r>
        <w:rPr>
          <w:color w:val="6E6158"/>
          <w:spacing w:val="40"/>
        </w:rPr>
        <w:t> </w:t>
      </w:r>
      <w:r>
        <w:rPr>
          <w:color w:val="6E6158"/>
        </w:rPr>
        <w:t>agreements, leases, easements, surface waivers and drill site agreements that limit or prevent</w:t>
      </w:r>
      <w:r>
        <w:rPr>
          <w:color w:val="6E6158"/>
          <w:spacing w:val="40"/>
        </w:rPr>
        <w:t> </w:t>
      </w:r>
      <w:r>
        <w:rPr>
          <w:color w:val="6E6158"/>
        </w:rPr>
        <w:t>disturbance by oil, gas and mineral-related activities. Derek works closely with clients to identify</w:t>
      </w:r>
      <w:r>
        <w:rPr>
          <w:color w:val="6E6158"/>
          <w:spacing w:val="40"/>
        </w:rPr>
        <w:t> </w:t>
      </w:r>
      <w:r>
        <w:rPr>
          <w:color w:val="6E6158"/>
        </w:rPr>
        <w:t>and resolve title, survey and other land-related issues, and is able to anticipate the expectations</w:t>
      </w:r>
      <w:r>
        <w:rPr>
          <w:color w:val="6E6158"/>
          <w:spacing w:val="80"/>
        </w:rPr>
        <w:t> </w:t>
      </w:r>
      <w:r>
        <w:rPr>
          <w:color w:val="6E6158"/>
        </w:rPr>
        <w:t>of tax equity and other investors concerning these matters.</w:t>
      </w:r>
    </w:p>
    <w:p>
      <w:pPr>
        <w:pStyle w:val="BodyText"/>
        <w:spacing w:before="193"/>
      </w:pPr>
      <w:r>
        <w:rPr>
          <w:color w:val="6E6158"/>
        </w:rPr>
        <w:t>Derek</w:t>
      </w:r>
      <w:r>
        <w:rPr>
          <w:color w:val="6E6158"/>
          <w:spacing w:val="9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free</w:t>
      </w:r>
      <w:r>
        <w:rPr>
          <w:color w:val="6E6158"/>
          <w:spacing w:val="9"/>
        </w:rPr>
        <w:t> </w:t>
      </w:r>
      <w:r>
        <w:rPr>
          <w:color w:val="6E6158"/>
        </w:rPr>
        <w:t>time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family,</w:t>
      </w:r>
      <w:r>
        <w:rPr>
          <w:color w:val="6E6158"/>
          <w:spacing w:val="10"/>
        </w:rPr>
        <w:t> </w:t>
      </w:r>
      <w:r>
        <w:rPr>
          <w:color w:val="6E6158"/>
        </w:rPr>
        <w:t>hiking,</w:t>
      </w:r>
      <w:r>
        <w:rPr>
          <w:color w:val="6E6158"/>
          <w:spacing w:val="10"/>
        </w:rPr>
        <w:t> </w:t>
      </w:r>
      <w:r>
        <w:rPr>
          <w:color w:val="6E6158"/>
        </w:rPr>
        <w:t>biking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fishing.</w:t>
      </w:r>
    </w:p>
    <w:p>
      <w:pPr>
        <w:pStyle w:val="Heading2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University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color w:val="6E6158"/>
        </w:rPr>
        <w:t>James</w:t>
      </w:r>
      <w:r>
        <w:rPr>
          <w:color w:val="6E6158"/>
          <w:spacing w:val="6"/>
        </w:rPr>
        <w:t> </w:t>
      </w:r>
      <w:r>
        <w:rPr>
          <w:color w:val="6E6158"/>
        </w:rPr>
        <w:t>E.</w:t>
      </w:r>
      <w:r>
        <w:rPr>
          <w:color w:val="6E6158"/>
          <w:spacing w:val="6"/>
        </w:rPr>
        <w:t> </w:t>
      </w:r>
      <w:r>
        <w:rPr>
          <w:color w:val="6E6158"/>
        </w:rPr>
        <w:t>Rogers</w:t>
      </w:r>
      <w:r>
        <w:rPr>
          <w:color w:val="6E6158"/>
          <w:spacing w:val="6"/>
        </w:rPr>
        <w:t> </w:t>
      </w:r>
      <w:r>
        <w:rPr>
          <w:color w:val="6E6158"/>
        </w:rPr>
        <w:t>College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0"/>
        <w:ind w:left="0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28" w:lineRule="exact" w:before="54"/>
        <w:ind w:right="6296"/>
      </w:pPr>
      <w:r>
        <w:rPr>
          <w:color w:val="6E6158"/>
        </w:rPr>
        <w:t>Renewable Energy and Clean </w:t>
      </w:r>
      <w:r>
        <w:rPr>
          <w:color w:val="6E6158"/>
        </w:rPr>
        <w:t>Tech Real Estate</w:t>
      </w:r>
    </w:p>
    <w:p>
      <w:pPr>
        <w:pStyle w:val="BodyText"/>
        <w:spacing w:before="111"/>
      </w:pPr>
      <w:r>
        <w:rPr>
          <w:color w:val="6E6158"/>
        </w:rPr>
        <w:t>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712"/>
      </w:pPr>
      <w:r>
        <w:rPr>
          <w:color w:val="6E6158"/>
        </w:rPr>
        <w:t>Representation of a private renewable energy company in the acquisition,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solar</w:t>
      </w:r>
      <w:r>
        <w:rPr>
          <w:color w:val="6E6158"/>
          <w:spacing w:val="12"/>
        </w:rPr>
        <w:t> </w:t>
      </w:r>
      <w:r>
        <w:rPr>
          <w:color w:val="6E6158"/>
        </w:rPr>
        <w:t>projects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California,</w:t>
      </w:r>
      <w:r>
        <w:rPr>
          <w:color w:val="6E6158"/>
          <w:spacing w:val="12"/>
        </w:rPr>
        <w:t> </w:t>
      </w:r>
      <w:r>
        <w:rPr>
          <w:color w:val="6E6158"/>
        </w:rPr>
        <w:t>Idaho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Indiana</w:t>
      </w:r>
      <w:r>
        <w:rPr>
          <w:color w:val="6E6158"/>
          <w:spacing w:val="12"/>
        </w:rPr>
        <w:t> </w:t>
      </w:r>
      <w:r>
        <w:rPr>
          <w:color w:val="6E6158"/>
        </w:rPr>
        <w:t>totaling</w:t>
      </w:r>
      <w:r>
        <w:rPr>
          <w:color w:val="6E6158"/>
          <w:spacing w:val="13"/>
        </w:rPr>
        <w:t> </w:t>
      </w:r>
      <w:r>
        <w:rPr>
          <w:color w:val="6E6158"/>
        </w:rPr>
        <w:t>nearly</w:t>
      </w:r>
      <w:r>
        <w:rPr>
          <w:color w:val="6E6158"/>
          <w:spacing w:val="12"/>
        </w:rPr>
        <w:t> </w:t>
      </w:r>
      <w:r>
        <w:rPr>
          <w:color w:val="6E6158"/>
        </w:rPr>
        <w:t>300</w:t>
      </w:r>
      <w:r>
        <w:rPr>
          <w:color w:val="6E6158"/>
          <w:spacing w:val="12"/>
        </w:rPr>
        <w:t> </w:t>
      </w:r>
      <w:r>
        <w:rPr>
          <w:color w:val="6E6158"/>
        </w:rPr>
        <w:t>MW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capacity.</w:t>
      </w:r>
    </w:p>
    <w:p>
      <w:pPr>
        <w:pStyle w:val="BodyText"/>
        <w:spacing w:line="302" w:lineRule="auto" w:before="174"/>
        <w:ind w:right="712"/>
      </w:pPr>
      <w:r>
        <w:rPr>
          <w:color w:val="6E6158"/>
        </w:rPr>
        <w:t>Representation of a publically traded energy company in the acquisition and development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14 MW solar project in Texas.</w:t>
      </w:r>
    </w:p>
    <w:p>
      <w:pPr>
        <w:pStyle w:val="BodyText"/>
        <w:spacing w:line="292" w:lineRule="auto" w:before="113"/>
        <w:ind w:right="712"/>
      </w:pPr>
      <w:r>
        <w:rPr>
          <w:color w:val="6E6158"/>
        </w:rPr>
        <w:t>Representation of a private renewable energy company in the acquisition and development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wind farms in Texas.</w:t>
      </w:r>
    </w:p>
    <w:p>
      <w:pPr>
        <w:pStyle w:val="BodyText"/>
        <w:spacing w:before="123"/>
      </w:pPr>
      <w:r>
        <w:rPr>
          <w:color w:val="6E6158"/>
        </w:rPr>
        <w:t>Development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gas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methanol</w:t>
      </w:r>
      <w:r>
        <w:rPr>
          <w:color w:val="6E6158"/>
          <w:spacing w:val="11"/>
        </w:rPr>
        <w:t> </w:t>
      </w:r>
      <w:r>
        <w:rPr>
          <w:color w:val="6E6158"/>
        </w:rPr>
        <w:t>facility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Louisiana.</w:t>
      </w:r>
    </w:p>
    <w:p>
      <w:pPr>
        <w:pStyle w:val="BodyText"/>
        <w:spacing w:line="292" w:lineRule="auto" w:before="182"/>
        <w:ind w:right="989"/>
      </w:pPr>
      <w:r>
        <w:rPr>
          <w:color w:val="6E6158"/>
        </w:rPr>
        <w:t>Site</w:t>
      </w:r>
      <w:r>
        <w:rPr>
          <w:color w:val="6E6158"/>
          <w:spacing w:val="16"/>
        </w:rPr>
        <w:t> </w:t>
      </w: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evaluation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mineral</w:t>
      </w:r>
      <w:r>
        <w:rPr>
          <w:color w:val="6E6158"/>
          <w:spacing w:val="16"/>
        </w:rPr>
        <w:t> </w:t>
      </w:r>
      <w:r>
        <w:rPr>
          <w:color w:val="6E6158"/>
        </w:rPr>
        <w:t>rights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entitlements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11,000-acre</w:t>
      </w:r>
      <w:r>
        <w:rPr>
          <w:color w:val="6E6158"/>
          <w:spacing w:val="16"/>
        </w:rPr>
        <w:t> </w:t>
      </w:r>
      <w:r>
        <w:rPr>
          <w:color w:val="6E6158"/>
        </w:rPr>
        <w:t>master-planned residential development for a national developer.</w:t>
      </w:r>
    </w:p>
    <w:p>
      <w:pPr>
        <w:pStyle w:val="BodyText"/>
        <w:spacing w:line="292" w:lineRule="auto" w:before="124"/>
        <w:ind w:right="712"/>
      </w:pPr>
      <w:r>
        <w:rPr>
          <w:color w:val="6E6158"/>
        </w:rPr>
        <w:t>Representation of clients in identifying and resolving potential conflicts between surface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mineral</w:t>
      </w:r>
      <w:r>
        <w:rPr>
          <w:color w:val="6E6158"/>
          <w:spacing w:val="40"/>
        </w:rPr>
        <w:t> </w:t>
      </w:r>
      <w:r>
        <w:rPr>
          <w:color w:val="6E6158"/>
        </w:rPr>
        <w:t>estates,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preparation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negotiation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surface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</w:p>
    <w:p>
      <w:pPr>
        <w:pStyle w:val="BodyText"/>
        <w:spacing w:line="292" w:lineRule="auto" w:before="131"/>
        <w:ind w:right="512"/>
      </w:pPr>
      <w:r>
        <w:rPr>
          <w:color w:val="6E6158"/>
        </w:rPr>
        <w:t>Representation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purchaser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majority</w:t>
      </w:r>
      <w:r>
        <w:rPr>
          <w:color w:val="6E6158"/>
          <w:spacing w:val="14"/>
        </w:rPr>
        <w:t> </w:t>
      </w:r>
      <w:r>
        <w:rPr>
          <w:color w:val="6E6158"/>
        </w:rPr>
        <w:t>interest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entities</w:t>
      </w:r>
      <w:r>
        <w:rPr>
          <w:color w:val="6E6158"/>
          <w:spacing w:val="14"/>
        </w:rPr>
        <w:t> </w:t>
      </w:r>
      <w:r>
        <w:rPr>
          <w:color w:val="6E6158"/>
        </w:rPr>
        <w:t>that</w:t>
      </w:r>
      <w:r>
        <w:rPr>
          <w:color w:val="6E6158"/>
          <w:spacing w:val="14"/>
        </w:rPr>
        <w:t> </w:t>
      </w:r>
      <w:r>
        <w:rPr>
          <w:color w:val="6E6158"/>
        </w:rPr>
        <w:t>owned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Woodlands, a 28,000-acre master-planned community located north of Houston, Texas.</w:t>
      </w:r>
    </w:p>
    <w:p>
      <w:pPr>
        <w:pStyle w:val="BodyText"/>
        <w:spacing w:before="123"/>
      </w:pPr>
      <w:r>
        <w:rPr>
          <w:color w:val="6E6158"/>
        </w:rPr>
        <w:t>Representation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international</w:t>
      </w:r>
      <w:r>
        <w:rPr>
          <w:color w:val="6E6158"/>
          <w:spacing w:val="14"/>
        </w:rPr>
        <w:t> </w:t>
      </w:r>
      <w:r>
        <w:rPr>
          <w:color w:val="6E6158"/>
        </w:rPr>
        <w:t>retailer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acquiring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developing</w:t>
      </w:r>
      <w:r>
        <w:rPr>
          <w:color w:val="6E6158"/>
          <w:spacing w:val="14"/>
        </w:rPr>
        <w:t> </w:t>
      </w:r>
      <w:r>
        <w:rPr>
          <w:color w:val="6E6158"/>
        </w:rPr>
        <w:t>store</w:t>
      </w:r>
      <w:r>
        <w:rPr>
          <w:color w:val="6E6158"/>
          <w:spacing w:val="14"/>
        </w:rPr>
        <w:t> </w:t>
      </w:r>
      <w:r>
        <w:rPr>
          <w:color w:val="6E6158"/>
        </w:rPr>
        <w:t>sites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throughout</w:t>
      </w:r>
    </w:p>
    <w:p>
      <w:pPr>
        <w:pStyle w:val="BodyText"/>
        <w:spacing w:line="302" w:lineRule="auto" w:before="52"/>
        <w:ind w:right="712"/>
      </w:pPr>
      <w:r>
        <w:rPr>
          <w:color w:val="6E6158"/>
        </w:rPr>
        <w:t>Texas, plus representation concerning disputes involving construction, real estate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and landlord/tenant issues.</w:t>
      </w:r>
    </w:p>
    <w:p>
      <w:pPr>
        <w:pStyle w:val="BodyText"/>
        <w:spacing w:line="292" w:lineRule="auto" w:before="113"/>
        <w:ind w:right="474"/>
      </w:pPr>
      <w:r>
        <w:rPr>
          <w:color w:val="6E6158"/>
        </w:rPr>
        <w:t>Representation of real estate investment management firm in the acquisition of a 560,000 square</w:t>
      </w:r>
      <w:r>
        <w:rPr>
          <w:color w:val="6E6158"/>
          <w:spacing w:val="40"/>
        </w:rPr>
        <w:t> </w:t>
      </w:r>
      <w:r>
        <w:rPr>
          <w:color w:val="6E6158"/>
        </w:rPr>
        <w:t>foot mixed-use project in Dallas, Texas.</w:t>
      </w:r>
    </w:p>
    <w:p>
      <w:pPr>
        <w:pStyle w:val="BodyText"/>
        <w:spacing w:line="292" w:lineRule="auto" w:before="131"/>
        <w:ind w:right="712"/>
      </w:pPr>
      <w:r>
        <w:rPr>
          <w:color w:val="6E6158"/>
        </w:rPr>
        <w:t>Counsel to a national bank on a series of revolving credit and term loans totaling $53 million to a</w:t>
      </w:r>
      <w:r>
        <w:rPr>
          <w:color w:val="6E6158"/>
          <w:spacing w:val="40"/>
        </w:rPr>
        <w:t> </w:t>
      </w:r>
      <w:r>
        <w:rPr>
          <w:color w:val="6E6158"/>
        </w:rPr>
        <w:t>privately owned motor fuel distributor.</w:t>
      </w:r>
    </w:p>
    <w:p>
      <w:pPr>
        <w:pStyle w:val="BodyText"/>
        <w:spacing w:line="297" w:lineRule="auto" w:before="124"/>
        <w:ind w:right="712"/>
      </w:pPr>
      <w:r>
        <w:rPr>
          <w:color w:val="6E6158"/>
        </w:rPr>
        <w:t>Represented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municipal</w:t>
      </w:r>
      <w:r>
        <w:rPr>
          <w:color w:val="6E6158"/>
          <w:spacing w:val="34"/>
        </w:rPr>
        <w:t> </w:t>
      </w:r>
      <w:r>
        <w:rPr>
          <w:color w:val="6E6158"/>
        </w:rPr>
        <w:t>power</w:t>
      </w:r>
      <w:r>
        <w:rPr>
          <w:color w:val="6E6158"/>
          <w:spacing w:val="34"/>
        </w:rPr>
        <w:t> </w:t>
      </w:r>
      <w:r>
        <w:rPr>
          <w:color w:val="6E6158"/>
        </w:rPr>
        <w:t>agency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connection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acquisition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easements required for the construction of electric power lines, and various water authorities and </w:t>
      </w:r>
      <w:r>
        <w:rPr>
          <w:color w:val="6E6158"/>
        </w:rPr>
        <w:t>municipal</w:t>
      </w:r>
      <w:r>
        <w:rPr>
          <w:color w:val="6E6158"/>
          <w:spacing w:val="40"/>
        </w:rPr>
        <w:t> </w:t>
      </w:r>
      <w:r>
        <w:rPr>
          <w:color w:val="6E6158"/>
        </w:rPr>
        <w:t>utility</w:t>
      </w:r>
      <w:r>
        <w:rPr>
          <w:color w:val="6E6158"/>
          <w:spacing w:val="29"/>
        </w:rPr>
        <w:t> </w:t>
      </w:r>
      <w:r>
        <w:rPr>
          <w:color w:val="6E6158"/>
        </w:rPr>
        <w:t>districts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connection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acquisition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easements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lines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drainage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facilities.</w:t>
      </w:r>
    </w:p>
    <w:p>
      <w:pPr>
        <w:pStyle w:val="BodyText"/>
        <w:spacing w:before="174"/>
      </w:pP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various</w:t>
      </w:r>
      <w:r>
        <w:rPr>
          <w:color w:val="6E6158"/>
          <w:spacing w:val="16"/>
        </w:rPr>
        <w:t> </w:t>
      </w:r>
      <w:r>
        <w:rPr>
          <w:color w:val="6E6158"/>
        </w:rPr>
        <w:t>large</w:t>
      </w:r>
      <w:r>
        <w:rPr>
          <w:color w:val="6E6158"/>
          <w:spacing w:val="16"/>
        </w:rPr>
        <w:t> </w:t>
      </w:r>
      <w:r>
        <w:rPr>
          <w:color w:val="6E6158"/>
        </w:rPr>
        <w:t>pipeline</w:t>
      </w:r>
      <w:r>
        <w:rPr>
          <w:color w:val="6E6158"/>
          <w:spacing w:val="16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connection</w:t>
      </w:r>
      <w:r>
        <w:rPr>
          <w:color w:val="6E6158"/>
          <w:spacing w:val="16"/>
        </w:rPr>
        <w:t> </w:t>
      </w:r>
      <w:r>
        <w:rPr>
          <w:color w:val="6E6158"/>
        </w:rPr>
        <w:t>with</w:t>
      </w:r>
      <w:r>
        <w:rPr>
          <w:color w:val="6E6158"/>
          <w:spacing w:val="16"/>
        </w:rPr>
        <w:t> </w:t>
      </w:r>
      <w:r>
        <w:rPr>
          <w:color w:val="6E6158"/>
        </w:rPr>
        <w:t>right-of-way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acquisitions.</w:t>
      </w:r>
    </w:p>
    <w:p>
      <w:pPr>
        <w:pStyle w:val="BodyText"/>
        <w:spacing w:line="302" w:lineRule="auto" w:before="173"/>
        <w:ind w:right="712"/>
      </w:pPr>
      <w:r>
        <w:rPr>
          <w:color w:val="6E6158"/>
        </w:rPr>
        <w:t>Representation of owners of a Nevada company in the sale of $170 million in equipment and</w:t>
      </w:r>
      <w:r>
        <w:rPr>
          <w:color w:val="6E6158"/>
          <w:spacing w:val="40"/>
        </w:rPr>
        <w:t> </w:t>
      </w:r>
      <w:r>
        <w:rPr>
          <w:color w:val="6E6158"/>
        </w:rPr>
        <w:t>other hard assets.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Energy Law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Project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Finance Law,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line="278" w:lineRule="auto" w:before="1"/>
        <w:ind w:right="712"/>
      </w:pPr>
      <w:r>
        <w:rPr>
          <w:color w:val="6E6158"/>
        </w:rPr>
        <w:t>Panelist, “Responding to COVID-19: The Impact of Remote Work on Attorneys,” </w:t>
      </w:r>
      <w:r>
        <w:rPr>
          <w:i/>
          <w:color w:val="6E6158"/>
          <w:sz w:val="20"/>
        </w:rPr>
        <w:t>Law </w:t>
      </w:r>
      <w:r>
        <w:rPr>
          <w:i/>
          <w:color w:val="6E6158"/>
          <w:sz w:val="20"/>
        </w:rPr>
        <w:t>Technology</w:t>
      </w:r>
      <w:r>
        <w:rPr>
          <w:i/>
          <w:color w:val="6E6158"/>
          <w:sz w:val="20"/>
        </w:rPr>
        <w:t> Today</w:t>
      </w:r>
      <w:r>
        <w:rPr>
          <w:color w:val="6E6158"/>
        </w:rPr>
        <w:t>, March 30, 2020</w:t>
      </w:r>
    </w:p>
    <w:p>
      <w:pPr>
        <w:pStyle w:val="BodyText"/>
        <w:spacing w:before="122"/>
      </w:pPr>
      <w:r>
        <w:rPr>
          <w:color w:val="6E6158"/>
        </w:rPr>
        <w:t>Author,</w:t>
      </w:r>
      <w:r>
        <w:rPr>
          <w:color w:val="6E6158"/>
          <w:spacing w:val="5"/>
        </w:rPr>
        <w:t> </w:t>
      </w:r>
      <w:r>
        <w:rPr>
          <w:color w:val="6E6158"/>
        </w:rPr>
        <w:t>“A</w:t>
      </w:r>
      <w:r>
        <w:rPr>
          <w:color w:val="6E6158"/>
          <w:spacing w:val="6"/>
        </w:rPr>
        <w:t> </w:t>
      </w:r>
      <w:r>
        <w:rPr>
          <w:color w:val="6E6158"/>
        </w:rPr>
        <w:t>Potential</w:t>
      </w:r>
      <w:r>
        <w:rPr>
          <w:color w:val="6E6158"/>
          <w:spacing w:val="5"/>
        </w:rPr>
        <w:t> </w:t>
      </w:r>
      <w:r>
        <w:rPr>
          <w:color w:val="6E6158"/>
        </w:rPr>
        <w:t>Solution</w:t>
      </w:r>
      <w:r>
        <w:rPr>
          <w:color w:val="6E6158"/>
          <w:spacing w:val="6"/>
        </w:rPr>
        <w:t> </w:t>
      </w:r>
      <w:r>
        <w:rPr>
          <w:color w:val="6E6158"/>
        </w:rPr>
        <w:t>to</w:t>
      </w:r>
      <w:r>
        <w:rPr>
          <w:color w:val="6E6158"/>
          <w:spacing w:val="5"/>
        </w:rPr>
        <w:t> </w:t>
      </w:r>
      <w:r>
        <w:rPr>
          <w:color w:val="6E6158"/>
        </w:rPr>
        <w:t>Short-Term</w:t>
      </w:r>
      <w:r>
        <w:rPr>
          <w:color w:val="6E6158"/>
          <w:spacing w:val="6"/>
        </w:rPr>
        <w:t> </w:t>
      </w:r>
      <w:r>
        <w:rPr>
          <w:color w:val="6E6158"/>
        </w:rPr>
        <w:t>Rentals,”</w:t>
      </w:r>
      <w:r>
        <w:rPr>
          <w:color w:val="6E6158"/>
          <w:spacing w:val="5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</w:rPr>
        <w:t>February</w:t>
      </w:r>
      <w:r>
        <w:rPr>
          <w:color w:val="6E6158"/>
          <w:spacing w:val="6"/>
        </w:rPr>
        <w:t> </w:t>
      </w:r>
      <w:r>
        <w:rPr>
          <w:color w:val="6E6158"/>
        </w:rPr>
        <w:t>26,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2018</w:t>
      </w:r>
    </w:p>
    <w:p>
      <w:pPr>
        <w:spacing w:line="297" w:lineRule="auto" w:before="162"/>
        <w:ind w:left="99" w:right="712" w:firstLine="0"/>
        <w:jc w:val="left"/>
        <w:rPr>
          <w:sz w:val="19"/>
        </w:rPr>
      </w:pPr>
      <w:hyperlink r:id="rId11">
        <w:r>
          <w:rPr>
            <w:color w:val="FF8100"/>
            <w:sz w:val="19"/>
          </w:rPr>
          <w:t>Author, “A Potential Solution to Short-Term Rentals,”</w:t>
        </w:r>
      </w:hyperlink>
      <w:r>
        <w:rPr>
          <w:color w:val="FF8100"/>
          <w:sz w:val="19"/>
        </w:rPr>
        <w:t> </w:t>
      </w:r>
      <w:hyperlink r:id="rId11">
        <w:r>
          <w:rPr>
            <w:i/>
            <w:color w:val="FF8100"/>
            <w:sz w:val="20"/>
          </w:rPr>
          <w:t>Real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Estate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Daily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News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and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RED</w:t>
        </w:r>
        <w:r>
          <w:rPr>
            <w:i/>
            <w:color w:val="FF8100"/>
            <w:spacing w:val="-3"/>
            <w:sz w:val="20"/>
          </w:rPr>
          <w:t> </w:t>
        </w:r>
        <w:r>
          <w:rPr>
            <w:i/>
            <w:color w:val="FF8100"/>
            <w:sz w:val="20"/>
          </w:rPr>
          <w:t>Comps</w:t>
        </w:r>
      </w:hyperlink>
      <w:hyperlink r:id="rId11">
        <w:r>
          <w:rPr>
            <w:color w:val="FF8100"/>
            <w:sz w:val="19"/>
          </w:rPr>
          <w:t>,</w:t>
        </w:r>
      </w:hyperlink>
      <w:r>
        <w:rPr>
          <w:color w:val="FF8100"/>
          <w:sz w:val="19"/>
        </w:rPr>
        <w:t> </w:t>
      </w:r>
      <w:hyperlink r:id="rId11">
        <w:r>
          <w:rPr>
            <w:color w:val="FF8100"/>
            <w:sz w:val="19"/>
          </w:rPr>
          <w:t>February 15, 2018</w:t>
        </w:r>
      </w:hyperlink>
    </w:p>
    <w:p>
      <w:pPr>
        <w:pStyle w:val="BodyText"/>
        <w:spacing w:before="106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6296"/>
      </w:pPr>
      <w:r>
        <w:rPr>
          <w:color w:val="6E6158"/>
        </w:rPr>
        <w:t>Member, State Bar of Texas Member, State Bar of </w:t>
      </w:r>
      <w:r>
        <w:rPr>
          <w:color w:val="6E6158"/>
        </w:rPr>
        <w:t>Nevada</w:t>
      </w:r>
    </w:p>
    <w:p>
      <w:pPr>
        <w:pStyle w:val="BodyText"/>
        <w:spacing w:before="7"/>
      </w:pPr>
      <w:r>
        <w:rPr>
          <w:color w:val="6E6158"/>
        </w:rPr>
        <w:t>Councilman,</w:t>
      </w:r>
      <w:r>
        <w:rPr>
          <w:color w:val="6E6158"/>
          <w:spacing w:val="18"/>
        </w:rPr>
        <w:t> </w:t>
      </w:r>
      <w:r>
        <w:rPr>
          <w:color w:val="6E6158"/>
        </w:rPr>
        <w:t>Sedona</w:t>
      </w:r>
      <w:r>
        <w:rPr>
          <w:color w:val="6E6158"/>
          <w:spacing w:val="19"/>
        </w:rPr>
        <w:t> </w:t>
      </w:r>
      <w:r>
        <w:rPr>
          <w:color w:val="6E6158"/>
        </w:rPr>
        <w:t>City</w:t>
      </w:r>
      <w:r>
        <w:rPr>
          <w:color w:val="6E6158"/>
          <w:spacing w:val="18"/>
        </w:rPr>
        <w:t> </w:t>
      </w:r>
      <w:r>
        <w:rPr>
          <w:color w:val="6E6158"/>
        </w:rPr>
        <w:t>Council,</w:t>
      </w:r>
      <w:r>
        <w:rPr>
          <w:color w:val="6E6158"/>
          <w:spacing w:val="19"/>
        </w:rPr>
        <w:t> </w:t>
      </w:r>
      <w:r>
        <w:rPr>
          <w:color w:val="6E6158"/>
        </w:rPr>
        <w:t>2024-</w:t>
      </w:r>
      <w:r>
        <w:rPr>
          <w:color w:val="6E6158"/>
          <w:spacing w:val="-2"/>
        </w:rPr>
        <w:t>present</w:t>
      </w:r>
    </w:p>
    <w:p>
      <w:pPr>
        <w:pStyle w:val="BodyText"/>
        <w:spacing w:before="174"/>
      </w:pPr>
      <w:r>
        <w:rPr>
          <w:color w:val="6E6158"/>
        </w:rPr>
        <w:t>Appointed</w:t>
      </w:r>
      <w:r>
        <w:rPr>
          <w:color w:val="6E6158"/>
          <w:spacing w:val="17"/>
        </w:rPr>
        <w:t> </w:t>
      </w:r>
      <w:r>
        <w:rPr>
          <w:color w:val="6E6158"/>
        </w:rPr>
        <w:t>Member,</w:t>
      </w:r>
      <w:r>
        <w:rPr>
          <w:color w:val="6E6158"/>
          <w:spacing w:val="17"/>
        </w:rPr>
        <w:t> </w:t>
      </w:r>
      <w:r>
        <w:rPr>
          <w:color w:val="6E6158"/>
        </w:rPr>
        <w:t>Sedona</w:t>
      </w:r>
      <w:r>
        <w:rPr>
          <w:color w:val="6E6158"/>
          <w:spacing w:val="17"/>
        </w:rPr>
        <w:t> </w:t>
      </w:r>
      <w:r>
        <w:rPr>
          <w:color w:val="6E6158"/>
        </w:rPr>
        <w:t>Historic</w:t>
      </w:r>
      <w:r>
        <w:rPr>
          <w:color w:val="6E6158"/>
          <w:spacing w:val="17"/>
        </w:rPr>
        <w:t> </w:t>
      </w:r>
      <w:r>
        <w:rPr>
          <w:color w:val="6E6158"/>
        </w:rPr>
        <w:t>Preservation</w:t>
      </w:r>
      <w:r>
        <w:rPr>
          <w:color w:val="6E6158"/>
          <w:spacing w:val="18"/>
        </w:rPr>
        <w:t> </w:t>
      </w:r>
      <w:r>
        <w:rPr>
          <w:color w:val="6E6158"/>
        </w:rPr>
        <w:t>Commission,</w:t>
      </w:r>
      <w:r>
        <w:rPr>
          <w:color w:val="6E6158"/>
          <w:spacing w:val="17"/>
        </w:rPr>
        <w:t> </w:t>
      </w:r>
      <w:r>
        <w:rPr>
          <w:color w:val="6E6158"/>
        </w:rPr>
        <w:t>2016-</w:t>
      </w:r>
      <w:r>
        <w:rPr>
          <w:color w:val="6E6158"/>
          <w:spacing w:val="-4"/>
        </w:rPr>
        <w:t>2022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8404"/>
      </w:pPr>
      <w:r>
        <w:rPr>
          <w:color w:val="6E6158"/>
          <w:spacing w:val="-2"/>
        </w:rPr>
        <w:t>Arizona Nevada 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pfaff@fennemorelaw.com" TargetMode="External"/><Relationship Id="rId11" Type="http://schemas.openxmlformats.org/officeDocument/2006/relationships/hyperlink" Target="https://realestatedaily-news.com/potential-solution-short-term-rental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J. Pfaff - Fennemore</dc:title>
  <dcterms:created xsi:type="dcterms:W3CDTF">2026-06-12T10:26:07Z</dcterms:created>
  <dcterms:modified xsi:type="dcterms:W3CDTF">2026-06-12T10:26:07Z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