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268700"/>
                            <a:ext cx="6071870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893695">
                                <a:moveTo>
                                  <a:pt x="6071591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79079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588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588" y="320370"/>
                                </a:lnTo>
                                <a:lnTo>
                                  <a:pt x="2118588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588" y="5168"/>
                                </a:lnTo>
                                <a:lnTo>
                                  <a:pt x="211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19522" y="763308"/>
                            <a:ext cx="16452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DIANE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KINDERMANN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25515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64422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32880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916.920.8608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58725" y="2500373"/>
                            <a:ext cx="1767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dkindermann@fennemorelaw.com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rect style="position:absolute;left:1336;top:-4666;width:9562;height:4557" id="docshape3" filled="true" fillcolor="#262424" stroked="false">
                  <v:fill type="solid"/>
                </v:rect>
                <v:shape style="position:absolute;left:4452;top:-2501;width:3337;height:505" id="docshape4" coordorigin="4453,-2501" coordsize="3337,505" path="m7789,-2004l4453,-2004,4453,-1996,7789,-1996,7789,-2004xm7789,-2501l4453,-2501,4453,-2493,7789,-2493,7789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31;top:-3887;width:2591;height:1731" type="#_x0000_t202" id="docshape5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DIANE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KINDERMANN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7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628;top:-1729;width:998;height:200" type="#_x0000_t202" id="docshape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587;top:-1477;width:1258;height:210" type="#_x0000_t202" id="docshape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916.273.1875</w:t>
                        </w:r>
                      </w:p>
                    </w:txbxContent>
                  </v:textbox>
                  <w10:wrap type="none"/>
                </v:shape>
                <v:shape style="position:absolute;left:6427;top:-1477;width:1240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916.920.8608</w:t>
                        </w:r>
                      </w:p>
                    </w:txbxContent>
                  </v:textbox>
                  <w10:wrap type="none"/>
                </v:shape>
                <v:shape style="position:absolute;left:4735;top:-1151;width:2783;height:200" type="#_x0000_t202" id="docshape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dkindermann@fennemorelaw.com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DIANE</w:t>
      </w:r>
      <w:r>
        <w:rPr>
          <w:color w:val="FF8100"/>
          <w:spacing w:val="5"/>
        </w:rPr>
        <w:t> </w:t>
      </w:r>
      <w:r>
        <w:rPr>
          <w:color w:val="FF8100"/>
        </w:rPr>
        <w:t>G.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KINDERMANN</w:t>
      </w:r>
    </w:p>
    <w:p>
      <w:pPr>
        <w:pStyle w:val="BodyText"/>
        <w:spacing w:line="295" w:lineRule="auto" w:before="146"/>
        <w:ind w:left="99" w:right="144"/>
      </w:pPr>
      <w:r>
        <w:rPr>
          <w:color w:val="6E6158"/>
        </w:rPr>
        <w:t>Diane G. Kindermann is a Director in Fennemore’s Land Use practice group, representing private</w:t>
      </w:r>
      <w:r>
        <w:rPr>
          <w:color w:val="6E6158"/>
          <w:spacing w:val="40"/>
        </w:rPr>
        <w:t> </w:t>
      </w:r>
      <w:r>
        <w:rPr>
          <w:color w:val="6E6158"/>
        </w:rPr>
        <w:t>clients and public agencies in a wide range of environmental and land use matters. Her work</w:t>
      </w:r>
      <w:r>
        <w:rPr>
          <w:color w:val="6E6158"/>
          <w:spacing w:val="40"/>
        </w:rPr>
        <w:t> </w:t>
      </w:r>
      <w:r>
        <w:rPr>
          <w:color w:val="6E6158"/>
        </w:rPr>
        <w:t>includes issues involving planning and zoning laws, CEQA, NEPA, the Federal and State Endangered Species Acts, wetlands, water rights and water quality, mineral rights, timber and</w:t>
      </w:r>
      <w:r>
        <w:rPr>
          <w:color w:val="6E6158"/>
          <w:spacing w:val="40"/>
        </w:rPr>
        <w:t> </w:t>
      </w:r>
      <w:r>
        <w:rPr>
          <w:color w:val="6E6158"/>
        </w:rPr>
        <w:t>forestry</w:t>
      </w:r>
      <w:r>
        <w:rPr>
          <w:color w:val="6E6158"/>
          <w:spacing w:val="39"/>
        </w:rPr>
        <w:t> </w:t>
      </w:r>
      <w:r>
        <w:rPr>
          <w:color w:val="6E6158"/>
        </w:rPr>
        <w:t>resources,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hazardous</w:t>
      </w:r>
      <w:r>
        <w:rPr>
          <w:color w:val="6E6158"/>
          <w:spacing w:val="39"/>
        </w:rPr>
        <w:t> </w:t>
      </w:r>
      <w:r>
        <w:rPr>
          <w:color w:val="6E6158"/>
        </w:rPr>
        <w:t>waste</w:t>
      </w:r>
      <w:r>
        <w:rPr>
          <w:color w:val="6E6158"/>
          <w:spacing w:val="39"/>
        </w:rPr>
        <w:t> </w:t>
      </w:r>
      <w:r>
        <w:rPr>
          <w:color w:val="6E6158"/>
        </w:rPr>
        <w:t>matters,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CERCLA.</w:t>
      </w:r>
      <w:r>
        <w:rPr>
          <w:color w:val="6E6158"/>
          <w:spacing w:val="39"/>
        </w:rPr>
        <w:t> </w:t>
      </w:r>
      <w:r>
        <w:rPr>
          <w:color w:val="6E6158"/>
        </w:rPr>
        <w:t>She</w:t>
      </w:r>
      <w:r>
        <w:rPr>
          <w:color w:val="6E6158"/>
          <w:spacing w:val="39"/>
        </w:rPr>
        <w:t> </w:t>
      </w:r>
      <w:r>
        <w:rPr>
          <w:color w:val="6E6158"/>
        </w:rPr>
        <w:t>represents</w:t>
      </w:r>
    </w:p>
    <w:p>
      <w:pPr>
        <w:pStyle w:val="BodyText"/>
        <w:spacing w:before="8"/>
        <w:ind w:left="99"/>
      </w:pPr>
      <w:r>
        <w:rPr>
          <w:color w:val="6E6158"/>
        </w:rPr>
        <w:t>development,</w:t>
      </w:r>
      <w:r>
        <w:rPr>
          <w:color w:val="6E6158"/>
          <w:spacing w:val="16"/>
        </w:rPr>
        <w:t> </w:t>
      </w:r>
      <w:r>
        <w:rPr>
          <w:color w:val="6E6158"/>
        </w:rPr>
        <w:t>agricultural,</w:t>
      </w:r>
      <w:r>
        <w:rPr>
          <w:color w:val="6E6158"/>
          <w:spacing w:val="17"/>
        </w:rPr>
        <w:t> </w:t>
      </w:r>
      <w:r>
        <w:rPr>
          <w:color w:val="6E6158"/>
        </w:rPr>
        <w:t>industrial,</w:t>
      </w:r>
      <w:r>
        <w:rPr>
          <w:color w:val="6E6158"/>
          <w:spacing w:val="16"/>
        </w:rPr>
        <w:t> </w:t>
      </w:r>
      <w:r>
        <w:rPr>
          <w:color w:val="6E6158"/>
        </w:rPr>
        <w:t>mining,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landowner</w:t>
      </w:r>
      <w:r>
        <w:rPr>
          <w:color w:val="6E6158"/>
          <w:spacing w:val="16"/>
        </w:rPr>
        <w:t> </w:t>
      </w:r>
      <w:r>
        <w:rPr>
          <w:color w:val="6E6158"/>
        </w:rPr>
        <w:t>interests</w:t>
      </w:r>
      <w:r>
        <w:rPr>
          <w:color w:val="6E6158"/>
          <w:spacing w:val="17"/>
        </w:rPr>
        <w:t> </w:t>
      </w:r>
      <w:r>
        <w:rPr>
          <w:color w:val="6E6158"/>
        </w:rPr>
        <w:t>across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381"/>
      </w:pPr>
      <w:r>
        <w:rPr>
          <w:color w:val="6E6158"/>
        </w:rPr>
        <w:t>Diane’s real estate experience includes purchase and lease transactions, easements, permit</w:t>
      </w:r>
      <w:r>
        <w:rPr>
          <w:color w:val="6E6158"/>
          <w:spacing w:val="40"/>
        </w:rPr>
        <w:t> </w:t>
      </w:r>
      <w:r>
        <w:rPr>
          <w:color w:val="6E6158"/>
        </w:rPr>
        <w:t>acquisition from federal, state, and local agencies, and litigation in state and federal courts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both the trial and appellate levels.</w:t>
      </w:r>
    </w:p>
    <w:p>
      <w:pPr>
        <w:pStyle w:val="BodyText"/>
        <w:spacing w:before="206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representing</w:t>
      </w:r>
      <w:r>
        <w:rPr>
          <w:color w:val="6E6158"/>
          <w:spacing w:val="11"/>
        </w:rPr>
        <w:t> </w:t>
      </w: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entities,</w:t>
      </w:r>
      <w:r>
        <w:rPr>
          <w:color w:val="6E6158"/>
          <w:spacing w:val="12"/>
        </w:rPr>
        <w:t> </w:t>
      </w:r>
      <w:r>
        <w:rPr>
          <w:color w:val="6E6158"/>
        </w:rPr>
        <w:t>Diane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served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special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public</w:t>
      </w:r>
    </w:p>
    <w:p>
      <w:pPr>
        <w:pStyle w:val="BodyText"/>
        <w:spacing w:line="295" w:lineRule="auto" w:before="51"/>
        <w:ind w:left="99" w:right="381"/>
      </w:pPr>
      <w:r>
        <w:rPr>
          <w:color w:val="6E6158"/>
        </w:rPr>
        <w:t>agencies, including cities, counties, special districts, and joint powers authorities. Her public</w:t>
      </w:r>
      <w:r>
        <w:rPr>
          <w:color w:val="6E6158"/>
          <w:spacing w:val="40"/>
        </w:rPr>
        <w:t> </w:t>
      </w:r>
      <w:r>
        <w:rPr>
          <w:color w:val="6E6158"/>
        </w:rPr>
        <w:t>agency work includes advising on general plans and specific plans, annexations, and other</w:t>
      </w:r>
      <w:r>
        <w:rPr>
          <w:color w:val="6E6158"/>
          <w:spacing w:val="40"/>
        </w:rPr>
        <w:t> </w:t>
      </w:r>
      <w:r>
        <w:rPr>
          <w:color w:val="6E6158"/>
        </w:rPr>
        <w:t>planning and zoning matters, as well as CEQA and NEPA compliance. She has represented water districts such as the Central Delta and Southern Delta Water Districts in </w:t>
      </w:r>
      <w:r>
        <w:rPr>
          <w:color w:val="6E6158"/>
        </w:rPr>
        <w:t>multijurisdictional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5" w:lineRule="auto" w:before="195"/>
        <w:ind w:left="99"/>
      </w:pP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special</w:t>
      </w:r>
      <w:r>
        <w:rPr>
          <w:color w:val="6E6158"/>
          <w:spacing w:val="35"/>
        </w:rPr>
        <w:t> </w:t>
      </w:r>
      <w:r>
        <w:rPr>
          <w:color w:val="6E6158"/>
        </w:rPr>
        <w:t>counsel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client</w:t>
      </w:r>
      <w:r>
        <w:rPr>
          <w:color w:val="6E6158"/>
          <w:spacing w:val="35"/>
        </w:rPr>
        <w:t> </w:t>
      </w:r>
      <w:r>
        <w:rPr>
          <w:color w:val="6E6158"/>
        </w:rPr>
        <w:t>matters,</w:t>
      </w:r>
      <w:r>
        <w:rPr>
          <w:color w:val="6E6158"/>
          <w:spacing w:val="35"/>
        </w:rPr>
        <w:t> </w:t>
      </w:r>
      <w:r>
        <w:rPr>
          <w:color w:val="6E6158"/>
        </w:rPr>
        <w:t>Diane</w:t>
      </w:r>
      <w:r>
        <w:rPr>
          <w:color w:val="6E6158"/>
          <w:spacing w:val="35"/>
        </w:rPr>
        <w:t> </w:t>
      </w:r>
      <w:r>
        <w:rPr>
          <w:color w:val="6E6158"/>
        </w:rPr>
        <w:t>advises</w:t>
      </w:r>
      <w:r>
        <w:rPr>
          <w:color w:val="6E6158"/>
          <w:spacing w:val="35"/>
        </w:rPr>
        <w:t> </w:t>
      </w:r>
      <w:r>
        <w:rPr>
          <w:color w:val="6E6158"/>
        </w:rPr>
        <w:t>commercial,</w:t>
      </w:r>
      <w:r>
        <w:rPr>
          <w:color w:val="6E6158"/>
          <w:spacing w:val="35"/>
        </w:rPr>
        <w:t> </w:t>
      </w:r>
      <w:r>
        <w:rPr>
          <w:color w:val="6E6158"/>
        </w:rPr>
        <w:t>residential, and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landowners,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interests,</w:t>
      </w:r>
      <w:r>
        <w:rPr>
          <w:color w:val="6E6158"/>
          <w:spacing w:val="40"/>
        </w:rPr>
        <w:t> </w:t>
      </w:r>
      <w:r>
        <w:rPr>
          <w:color w:val="6E6158"/>
        </w:rPr>
        <w:t>mining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vintners,</w:t>
      </w:r>
      <w:r>
        <w:rPr>
          <w:color w:val="6E6158"/>
          <w:spacing w:val="40"/>
        </w:rPr>
        <w:t> </w:t>
      </w:r>
      <w:r>
        <w:rPr>
          <w:color w:val="6E6158"/>
        </w:rPr>
        <w:t>and other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throughout</w:t>
      </w:r>
      <w:r>
        <w:rPr>
          <w:color w:val="6E6158"/>
          <w:spacing w:val="34"/>
        </w:rPr>
        <w:t> </w:t>
      </w:r>
      <w:r>
        <w:rPr>
          <w:color w:val="6E6158"/>
        </w:rPr>
        <w:t>California.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experience</w:t>
      </w:r>
      <w:r>
        <w:rPr>
          <w:color w:val="6E6158"/>
          <w:spacing w:val="34"/>
        </w:rPr>
        <w:t> </w:t>
      </w:r>
      <w:r>
        <w:rPr>
          <w:color w:val="6E6158"/>
        </w:rPr>
        <w:t>spans</w:t>
      </w:r>
      <w:r>
        <w:rPr>
          <w:color w:val="6E6158"/>
          <w:spacing w:val="34"/>
        </w:rPr>
        <w:t> </w:t>
      </w:r>
      <w:r>
        <w:rPr>
          <w:color w:val="6E6158"/>
        </w:rPr>
        <w:t>projects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cities including Angels Camp, Auburn, Calistoga, Citrus Heights, Davis, Dunnigan, Folsom, Galt, </w:t>
      </w:r>
      <w:r>
        <w:rPr>
          <w:color w:val="6E6158"/>
        </w:rPr>
        <w:t>Loomis,</w:t>
      </w:r>
      <w:r>
        <w:rPr>
          <w:color w:val="6E6158"/>
          <w:spacing w:val="40"/>
        </w:rPr>
        <w:t> </w:t>
      </w:r>
      <w:r>
        <w:rPr>
          <w:color w:val="6E6158"/>
        </w:rPr>
        <w:t>Patterson,</w:t>
      </w:r>
      <w:r>
        <w:rPr>
          <w:color w:val="6E6158"/>
          <w:spacing w:val="39"/>
        </w:rPr>
        <w:t> </w:t>
      </w:r>
      <w:r>
        <w:rPr>
          <w:color w:val="6E6158"/>
        </w:rPr>
        <w:t>St.</w:t>
      </w:r>
      <w:r>
        <w:rPr>
          <w:color w:val="6E6158"/>
          <w:spacing w:val="39"/>
        </w:rPr>
        <w:t> </w:t>
      </w:r>
      <w:r>
        <w:rPr>
          <w:color w:val="6E6158"/>
        </w:rPr>
        <w:t>Helena,</w:t>
      </w:r>
      <w:r>
        <w:rPr>
          <w:color w:val="6E6158"/>
          <w:spacing w:val="39"/>
        </w:rPr>
        <w:t> </w:t>
      </w:r>
      <w:r>
        <w:rPr>
          <w:color w:val="6E6158"/>
        </w:rPr>
        <w:t>Rocklin,</w:t>
      </w:r>
      <w:r>
        <w:rPr>
          <w:color w:val="6E6158"/>
          <w:spacing w:val="39"/>
        </w:rPr>
        <w:t> </w:t>
      </w:r>
      <w:r>
        <w:rPr>
          <w:color w:val="6E6158"/>
        </w:rPr>
        <w:t>Roseville,</w:t>
      </w:r>
      <w:r>
        <w:rPr>
          <w:color w:val="6E6158"/>
          <w:spacing w:val="39"/>
        </w:rPr>
        <w:t> </w:t>
      </w:r>
      <w:r>
        <w:rPr>
          <w:color w:val="6E6158"/>
        </w:rPr>
        <w:t>Rutherford,</w:t>
      </w:r>
      <w:r>
        <w:rPr>
          <w:color w:val="6E6158"/>
          <w:spacing w:val="39"/>
        </w:rPr>
        <w:t> </w:t>
      </w:r>
      <w:r>
        <w:rPr>
          <w:color w:val="6E6158"/>
        </w:rPr>
        <w:t>Sacramento,</w:t>
      </w:r>
      <w:r>
        <w:rPr>
          <w:color w:val="6E6158"/>
          <w:spacing w:val="39"/>
        </w:rPr>
        <w:t> </w:t>
      </w:r>
      <w:r>
        <w:rPr>
          <w:color w:val="6E6158"/>
        </w:rPr>
        <w:t>San</w:t>
      </w:r>
      <w:r>
        <w:rPr>
          <w:color w:val="6E6158"/>
          <w:spacing w:val="39"/>
        </w:rPr>
        <w:t> </w:t>
      </w:r>
      <w:r>
        <w:rPr>
          <w:color w:val="6E6158"/>
        </w:rPr>
        <w:t>Andreas,</w:t>
      </w:r>
      <w:r>
        <w:rPr>
          <w:color w:val="6E6158"/>
          <w:spacing w:val="39"/>
        </w:rPr>
        <w:t> </w:t>
      </w:r>
      <w:r>
        <w:rPr>
          <w:color w:val="6E6158"/>
        </w:rPr>
        <w:t>Sutter</w:t>
      </w:r>
      <w:r>
        <w:rPr>
          <w:color w:val="6E6158"/>
          <w:spacing w:val="39"/>
        </w:rPr>
        <w:t> </w:t>
      </w:r>
      <w:r>
        <w:rPr>
          <w:color w:val="6E6158"/>
        </w:rPr>
        <w:t>Creek,</w:t>
      </w:r>
    </w:p>
    <w:p>
      <w:pPr>
        <w:pStyle w:val="BodyText"/>
        <w:spacing w:line="292" w:lineRule="auto" w:before="8"/>
        <w:ind w:left="99" w:right="381"/>
      </w:pPr>
      <w:r>
        <w:rPr>
          <w:color w:val="6E6158"/>
        </w:rPr>
        <w:t>Stockton, Tracy, Woodland, and Yountville, as well as counties including Amador, Calaveras, Contra Costa, El Dorado, Glenn, Madera, Napa, Placer, San Joaquin, Sonoma, Stanislaus, Tehama, Tuolumne, and Yolo.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Diego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Certificate,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Studies,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Sorbonne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Assas-International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Land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Use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California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Lawyers®,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Best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Sacramento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line="292" w:lineRule="auto" w:before="1"/>
        <w:ind w:left="99" w:right="381"/>
      </w:pPr>
      <w:r>
        <w:rPr>
          <w:color w:val="6E6158"/>
        </w:rPr>
        <w:t>University of California Extension Land Use and Natural Resources Program in Land </w:t>
      </w:r>
      <w:r>
        <w:rPr>
          <w:color w:val="6E6158"/>
        </w:rPr>
        <w:t>Use, Environmental and Real Property Law, Instructor on Select Topics, 1989-Present</w:t>
      </w:r>
    </w:p>
    <w:p>
      <w:pPr>
        <w:pStyle w:val="BodyText"/>
        <w:spacing w:line="302" w:lineRule="auto" w:before="123"/>
        <w:ind w:left="99" w:right="160"/>
      </w:pP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</w:rPr>
        <w:t>Continuing</w:t>
      </w:r>
      <w:r>
        <w:rPr>
          <w:color w:val="6E6158"/>
          <w:spacing w:val="14"/>
        </w:rPr>
        <w:t> </w:t>
      </w:r>
      <w:r>
        <w:rPr>
          <w:color w:val="6E6158"/>
        </w:rPr>
        <w:t>Education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Classes,</w:t>
      </w:r>
      <w:r>
        <w:rPr>
          <w:color w:val="6E6158"/>
          <w:spacing w:val="14"/>
        </w:rPr>
        <w:t> </w:t>
      </w:r>
      <w:r>
        <w:rPr>
          <w:color w:val="6E6158"/>
        </w:rPr>
        <w:t>Instructor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Select</w:t>
      </w:r>
      <w:r>
        <w:rPr>
          <w:color w:val="6E6158"/>
          <w:spacing w:val="14"/>
        </w:rPr>
        <w:t> </w:t>
      </w:r>
      <w:r>
        <w:rPr>
          <w:color w:val="6E6158"/>
        </w:rPr>
        <w:t>Topics,</w:t>
      </w:r>
      <w:r>
        <w:rPr>
          <w:color w:val="6E6158"/>
          <w:spacing w:val="14"/>
        </w:rPr>
        <w:t> </w:t>
      </w:r>
      <w:r>
        <w:rPr>
          <w:color w:val="6E6158"/>
        </w:rPr>
        <w:t>1989-</w:t>
      </w:r>
      <w:r>
        <w:rPr>
          <w:color w:val="6E6158"/>
          <w:spacing w:val="-2"/>
        </w:rPr>
        <w:t>Present</w:t>
      </w:r>
    </w:p>
    <w:p>
      <w:pPr>
        <w:pStyle w:val="BodyText"/>
        <w:spacing w:before="113"/>
        <w:ind w:left="99"/>
      </w:pP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Davis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</w:rPr>
        <w:t>Instructor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Select</w:t>
      </w:r>
      <w:r>
        <w:rPr>
          <w:color w:val="6E6158"/>
          <w:spacing w:val="12"/>
        </w:rPr>
        <w:t> </w:t>
      </w:r>
      <w:r>
        <w:rPr>
          <w:color w:val="6E6158"/>
        </w:rPr>
        <w:t>Topics,</w:t>
      </w:r>
      <w:r>
        <w:rPr>
          <w:color w:val="6E6158"/>
          <w:spacing w:val="12"/>
        </w:rPr>
        <w:t> </w:t>
      </w:r>
      <w:r>
        <w:rPr>
          <w:color w:val="6E6158"/>
        </w:rPr>
        <w:t>1989-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  <w:ind w:left="99"/>
      </w:pPr>
      <w:r>
        <w:rPr>
          <w:color w:val="6E6158"/>
        </w:rPr>
        <w:t>Abbott</w:t>
      </w:r>
      <w:r>
        <w:rPr>
          <w:color w:val="6E6158"/>
          <w:spacing w:val="14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Kindermann,</w:t>
      </w:r>
      <w:r>
        <w:rPr>
          <w:color w:val="6E6158"/>
          <w:spacing w:val="14"/>
        </w:rPr>
        <w:t> </w:t>
      </w:r>
      <w:r>
        <w:rPr>
          <w:color w:val="6E6158"/>
        </w:rPr>
        <w:t>Inc,</w:t>
      </w:r>
      <w:r>
        <w:rPr>
          <w:color w:val="6E6158"/>
          <w:spacing w:val="14"/>
        </w:rPr>
        <w:t> </w:t>
      </w:r>
      <w:r>
        <w:rPr>
          <w:color w:val="6E6158"/>
        </w:rPr>
        <w:t>Land</w:t>
      </w:r>
      <w:r>
        <w:rPr>
          <w:color w:val="6E6158"/>
          <w:spacing w:val="14"/>
        </w:rPr>
        <w:t> </w:t>
      </w:r>
      <w:r>
        <w:rPr>
          <w:color w:val="6E6158"/>
        </w:rPr>
        <w:t>Use</w:t>
      </w:r>
      <w:r>
        <w:rPr>
          <w:color w:val="6E6158"/>
          <w:spacing w:val="14"/>
        </w:rPr>
        <w:t> </w:t>
      </w:r>
      <w:r>
        <w:rPr>
          <w:color w:val="6E6158"/>
        </w:rPr>
        <w:t>Environmental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Update,</w:t>
      </w:r>
      <w:r>
        <w:rPr>
          <w:color w:val="6E6158"/>
          <w:spacing w:val="14"/>
        </w:rPr>
        <w:t> </w:t>
      </w:r>
      <w:r>
        <w:rPr>
          <w:color w:val="6E6158"/>
        </w:rPr>
        <w:t>2001-</w:t>
      </w:r>
      <w:r>
        <w:rPr>
          <w:color w:val="6E6158"/>
          <w:spacing w:val="-4"/>
        </w:rPr>
        <w:t>2024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50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Property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82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Commissioner,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Environmental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Commission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794" w:firstLine="0"/>
        <w:jc w:val="left"/>
        <w:rPr>
          <w:sz w:val="19"/>
        </w:rPr>
      </w:pPr>
      <w:r>
        <w:rPr>
          <w:color w:val="6E6158"/>
          <w:sz w:val="19"/>
        </w:rPr>
        <w:t>Board Member and Executive Committee Chair, Sacramento Regional Transit </w:t>
      </w:r>
      <w:r>
        <w:rPr>
          <w:color w:val="6E6158"/>
          <w:sz w:val="19"/>
        </w:rPr>
        <w:t>Authority’s Friends of Light Rail Board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87" w:firstLine="0"/>
        <w:jc w:val="left"/>
        <w:rPr>
          <w:sz w:val="19"/>
        </w:rPr>
      </w:pPr>
      <w:r>
        <w:rPr>
          <w:color w:val="6E6158"/>
          <w:sz w:val="19"/>
        </w:rPr>
        <w:t>Council of Counsel, Environment Committee, and the Government Affairs and Legal </w:t>
      </w:r>
      <w:r>
        <w:rPr>
          <w:color w:val="6E6158"/>
          <w:sz w:val="19"/>
        </w:rPr>
        <w:t>Action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Committees, California Construction Materials 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Environment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Precast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Concrete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Winegrape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Growers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380" w:firstLine="0"/>
        <w:jc w:val="left"/>
        <w:rPr>
          <w:sz w:val="19"/>
        </w:rPr>
      </w:pPr>
      <w:r>
        <w:rPr>
          <w:color w:val="6E6158"/>
          <w:sz w:val="19"/>
        </w:rPr>
        <w:t>Past Legislative Director and Board Member, Sacramento Valley Chapter, American Planning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2" w:after="0"/>
        <w:ind w:left="99" w:right="544" w:firstLine="0"/>
        <w:jc w:val="left"/>
        <w:rPr>
          <w:sz w:val="19"/>
        </w:rPr>
      </w:pPr>
      <w:r>
        <w:rPr>
          <w:color w:val="6E6158"/>
          <w:sz w:val="19"/>
        </w:rPr>
        <w:t>Past Legal Affairs Committee and Wetlands/Endangered Species Task Force, Association of California Water Agencies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Trustees,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St.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Francis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Catholic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Advisory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Council,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Assistance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League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Sacramento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Lambda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Alpha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(Historic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Land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Use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Economic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Society)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French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hyperlink" Target="https://www.fennemorelaw.com/services/land-use/" TargetMode="External"/><Relationship Id="rId8" Type="http://schemas.openxmlformats.org/officeDocument/2006/relationships/hyperlink" Target="https://www.fennemorelaw.com/contact-us/sacramento/" TargetMode="External"/><Relationship Id="rId9" Type="http://schemas.openxmlformats.org/officeDocument/2006/relationships/hyperlink" Target="mailto:dkindermann@fennemorelaw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G. Kindermann - Fennemore</dc:title>
  <dcterms:created xsi:type="dcterms:W3CDTF">2026-06-05T12:45:24Z</dcterms:created>
  <dcterms:modified xsi:type="dcterms:W3CDTF">2026-06-05T12:45:24Z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