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302" w:lineRule="auto" w:before="1"/>
        <w:ind w:left="99"/>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Don Rez"/>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06774" y="1369338"/>
                            <a:ext cx="1891664" cy="320675"/>
                          </a:xfrm>
                          <a:custGeom>
                            <a:avLst/>
                            <a:gdLst/>
                            <a:ahLst/>
                            <a:cxnLst/>
                            <a:rect l="l" t="t" r="r" b="b"/>
                            <a:pathLst>
                              <a:path w="1891664" h="320675">
                                <a:moveTo>
                                  <a:pt x="1891233" y="315214"/>
                                </a:moveTo>
                                <a:lnTo>
                                  <a:pt x="0" y="315214"/>
                                </a:lnTo>
                                <a:lnTo>
                                  <a:pt x="0" y="320382"/>
                                </a:lnTo>
                                <a:lnTo>
                                  <a:pt x="1891233" y="320382"/>
                                </a:lnTo>
                                <a:lnTo>
                                  <a:pt x="1891233" y="315214"/>
                                </a:lnTo>
                                <a:close/>
                              </a:path>
                              <a:path w="1891664" h="320675">
                                <a:moveTo>
                                  <a:pt x="1891233" y="0"/>
                                </a:moveTo>
                                <a:lnTo>
                                  <a:pt x="0" y="0"/>
                                </a:lnTo>
                                <a:lnTo>
                                  <a:pt x="0" y="5168"/>
                                </a:lnTo>
                                <a:lnTo>
                                  <a:pt x="1891233" y="5168"/>
                                </a:lnTo>
                                <a:lnTo>
                                  <a:pt x="1891233"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08075" y="763308"/>
                            <a:ext cx="1904364" cy="825500"/>
                          </a:xfrm>
                          <a:prstGeom prst="rect">
                            <a:avLst/>
                          </a:prstGeom>
                        </wps:spPr>
                        <wps:txbx>
                          <w:txbxContent>
                            <w:p>
                              <w:pPr>
                                <w:spacing w:before="0"/>
                                <w:ind w:left="0" w:right="18" w:firstLine="0"/>
                                <w:jc w:val="center"/>
                                <w:rPr>
                                  <w:sz w:val="39"/>
                                </w:rPr>
                              </w:pPr>
                              <w:r>
                                <w:rPr>
                                  <w:color w:val="FFFFFF"/>
                                  <w:sz w:val="39"/>
                                </w:rPr>
                                <w:t>DONALD G. </w:t>
                              </w:r>
                              <w:r>
                                <w:rPr>
                                  <w:color w:val="FFFFFF"/>
                                  <w:spacing w:val="-5"/>
                                  <w:sz w:val="39"/>
                                </w:rPr>
                                <w:t>REZ</w:t>
                              </w:r>
                            </w:p>
                            <w:p>
                              <w:pPr>
                                <w:spacing w:before="39"/>
                                <w:ind w:left="0" w:right="17"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295812" y="1859626"/>
                            <a:ext cx="528955" cy="127000"/>
                          </a:xfrm>
                          <a:prstGeom prst="rect">
                            <a:avLst/>
                          </a:prstGeom>
                        </wps:spPr>
                        <wps:txbx>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Diego</w:t>
                                </w:r>
                              </w:hyperlink>
                            </w:p>
                          </w:txbxContent>
                        </wps:txbx>
                        <wps:bodyPr wrap="square" lIns="0" tIns="0" rIns="0" bIns="0" rtlCol="0">
                          <a:noAutofit/>
                        </wps:bodyPr>
                      </wps:wsp>
                      <wps:wsp>
                        <wps:cNvPr id="9" name="Textbox 9"/>
                        <wps:cNvSpPr txBox="1"/>
                        <wps:spPr>
                          <a:xfrm>
                            <a:off x="3639160"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619.595.3239</w:t>
                              </w:r>
                            </w:p>
                          </w:txbxContent>
                        </wps:txbx>
                        <wps:bodyPr wrap="square" lIns="0" tIns="0" rIns="0" bIns="0" rtlCol="0">
                          <a:noAutofit/>
                        </wps:bodyPr>
                      </wps:wsp>
                      <wps:wsp>
                        <wps:cNvPr id="10" name="Textbox 10"/>
                        <wps:cNvSpPr txBox="1"/>
                        <wps:spPr>
                          <a:xfrm>
                            <a:off x="4693937"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619.231.4372</w:t>
                              </w:r>
                            </w:p>
                          </w:txbxContent>
                        </wps:txbx>
                        <wps:bodyPr wrap="square" lIns="0" tIns="0" rIns="0" bIns="0" rtlCol="0">
                          <a:noAutofit/>
                        </wps:bodyPr>
                      </wps:wsp>
                      <wps:wsp>
                        <wps:cNvPr id="11" name="Textbox 11"/>
                        <wps:cNvSpPr txBox="1"/>
                        <wps:spPr>
                          <a:xfrm>
                            <a:off x="3906246" y="2226505"/>
                            <a:ext cx="1307465" cy="127000"/>
                          </a:xfrm>
                          <a:prstGeom prst="rect">
                            <a:avLst/>
                          </a:prstGeom>
                        </wps:spPr>
                        <wps:txbx>
                          <w:txbxContent>
                            <w:p>
                              <w:pPr>
                                <w:spacing w:before="2"/>
                                <w:ind w:left="0" w:right="0" w:firstLine="0"/>
                                <w:jc w:val="left"/>
                                <w:rPr>
                                  <w:sz w:val="16"/>
                                </w:rPr>
                              </w:pPr>
                              <w:hyperlink r:id="rId10">
                                <w:r>
                                  <w:rPr>
                                    <w:color w:val="FFFFFF"/>
                                    <w:spacing w:val="-2"/>
                                    <w:sz w:val="16"/>
                                  </w:rPr>
                                  <w:t>drez@fennemorelaw.com</w:t>
                                </w:r>
                              </w:hyperlink>
                            </w:p>
                          </w:txbxContent>
                        </wps:txbx>
                        <wps:bodyPr wrap="square" lIns="0" tIns="0" rIns="0" bIns="0" rtlCol="0">
                          <a:noAutofit/>
                        </wps:bodyPr>
                      </wps:wsp>
                      <wps:wsp>
                        <wps:cNvPr id="12" name="Textbox 12"/>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770450" y="3482163"/>
                            <a:ext cx="2546985" cy="307975"/>
                          </a:xfrm>
                          <a:prstGeom prst="rect">
                            <a:avLst/>
                          </a:prstGeom>
                        </wps:spPr>
                        <wps:txbx>
                          <w:txbxContent>
                            <w:p>
                              <w:pPr>
                                <w:spacing w:before="2"/>
                                <w:ind w:left="1" w:right="19" w:firstLine="0"/>
                                <w:jc w:val="center"/>
                                <w:rPr>
                                  <w:sz w:val="16"/>
                                </w:rPr>
                              </w:pPr>
                              <w:r>
                                <w:rPr>
                                  <w:color w:val="FFFFFF"/>
                                  <w:spacing w:val="-4"/>
                                  <w:sz w:val="16"/>
                                </w:rPr>
                                <w:t>Do</w:t>
                              </w:r>
                              <w:r>
                                <w:rPr>
                                  <w:color w:val="FFFFFF"/>
                                  <w:spacing w:val="-10"/>
                                  <w:sz w:val="16"/>
                                </w:rPr>
                                <w:t> </w:t>
                              </w:r>
                              <w:r>
                                <w:rPr>
                                  <w:color w:val="FFFFFF"/>
                                  <w:spacing w:val="-4"/>
                                  <w:sz w:val="16"/>
                                </w:rPr>
                                <w:t>justice,</w:t>
                              </w:r>
                              <w:r>
                                <w:rPr>
                                  <w:color w:val="FFFFFF"/>
                                  <w:spacing w:val="-10"/>
                                  <w:sz w:val="16"/>
                                </w:rPr>
                                <w:t> </w:t>
                              </w:r>
                              <w:r>
                                <w:rPr>
                                  <w:color w:val="FFFFFF"/>
                                  <w:spacing w:val="-4"/>
                                  <w:sz w:val="16"/>
                                </w:rPr>
                                <w:t>love</w:t>
                              </w:r>
                              <w:r>
                                <w:rPr>
                                  <w:color w:val="FFFFFF"/>
                                  <w:spacing w:val="-10"/>
                                  <w:sz w:val="16"/>
                                </w:rPr>
                                <w:t> </w:t>
                              </w:r>
                              <w:r>
                                <w:rPr>
                                  <w:color w:val="FFFFFF"/>
                                  <w:spacing w:val="-4"/>
                                  <w:sz w:val="16"/>
                                </w:rPr>
                                <w:t>goodness,</w:t>
                              </w:r>
                              <w:r>
                                <w:rPr>
                                  <w:color w:val="FFFFFF"/>
                                  <w:spacing w:val="-9"/>
                                  <w:sz w:val="16"/>
                                </w:rPr>
                                <w:t> </w:t>
                              </w:r>
                              <w:r>
                                <w:rPr>
                                  <w:color w:val="FFFFFF"/>
                                  <w:spacing w:val="-4"/>
                                  <w:sz w:val="16"/>
                                </w:rPr>
                                <w:t>and</w:t>
                              </w:r>
                              <w:r>
                                <w:rPr>
                                  <w:color w:val="FFFFFF"/>
                                  <w:spacing w:val="-10"/>
                                  <w:sz w:val="16"/>
                                </w:rPr>
                                <w:t> </w:t>
                              </w:r>
                              <w:r>
                                <w:rPr>
                                  <w:color w:val="FFFFFF"/>
                                  <w:spacing w:val="-4"/>
                                  <w:sz w:val="16"/>
                                </w:rPr>
                                <w:t>walk</w:t>
                              </w:r>
                              <w:r>
                                <w:rPr>
                                  <w:color w:val="FFFFFF"/>
                                  <w:spacing w:val="-10"/>
                                  <w:sz w:val="16"/>
                                </w:rPr>
                                <w:t> </w:t>
                              </w:r>
                              <w:r>
                                <w:rPr>
                                  <w:color w:val="FFFFFF"/>
                                  <w:spacing w:val="-4"/>
                                  <w:sz w:val="16"/>
                                </w:rPr>
                                <w:t>humbly</w:t>
                              </w:r>
                              <w:r>
                                <w:rPr>
                                  <w:color w:val="FFFFFF"/>
                                  <w:spacing w:val="-9"/>
                                  <w:sz w:val="16"/>
                                </w:rPr>
                                <w:t> </w:t>
                              </w:r>
                              <w:r>
                                <w:rPr>
                                  <w:color w:val="FFFFFF"/>
                                  <w:spacing w:val="-4"/>
                                  <w:sz w:val="16"/>
                                </w:rPr>
                                <w:t>with</w:t>
                              </w:r>
                              <w:r>
                                <w:rPr>
                                  <w:color w:val="FFFFFF"/>
                                  <w:spacing w:val="-10"/>
                                  <w:sz w:val="16"/>
                                </w:rPr>
                                <w:t> </w:t>
                              </w:r>
                              <w:r>
                                <w:rPr>
                                  <w:color w:val="FFFFFF"/>
                                  <w:spacing w:val="-4"/>
                                  <w:sz w:val="16"/>
                                </w:rPr>
                                <w:t>God.</w:t>
                              </w:r>
                            </w:p>
                            <w:p>
                              <w:pPr>
                                <w:spacing w:before="89"/>
                                <w:ind w:left="0" w:right="19" w:firstLine="0"/>
                                <w:jc w:val="center"/>
                                <w:rPr>
                                  <w:sz w:val="16"/>
                                </w:rPr>
                              </w:pPr>
                              <w:r>
                                <w:rPr>
                                  <w:color w:val="FFFFFF"/>
                                  <w:spacing w:val="-5"/>
                                  <w:sz w:val="16"/>
                                </w:rPr>
                                <w:t>Micah 6:8</w:t>
                              </w:r>
                            </w:p>
                          </w:txbxContent>
                        </wps:txbx>
                        <wps:bodyPr wrap="square" lIns="0" tIns="0" rIns="0" bIns="0" rtlCol="0">
                          <a:noAutofit/>
                        </wps:bodyPr>
                      </wps:wsp>
                      <wps:wsp>
                        <wps:cNvPr id="14" name="Textbox 14"/>
                        <wps:cNvSpPr txBox="1"/>
                        <wps:spPr>
                          <a:xfrm>
                            <a:off x="129182" y="4274578"/>
                            <a:ext cx="1166495" cy="187960"/>
                          </a:xfrm>
                          <a:prstGeom prst="rect">
                            <a:avLst/>
                          </a:prstGeom>
                        </wps:spPr>
                        <wps:txbx>
                          <w:txbxContent>
                            <w:p>
                              <w:pPr>
                                <w:spacing w:before="1"/>
                                <w:ind w:left="0" w:right="0" w:firstLine="0"/>
                                <w:jc w:val="left"/>
                                <w:rPr>
                                  <w:b/>
                                  <w:sz w:val="24"/>
                                </w:rPr>
                              </w:pPr>
                              <w:r>
                                <w:rPr>
                                  <w:b/>
                                  <w:color w:val="FF8100"/>
                                  <w:sz w:val="24"/>
                                </w:rPr>
                                <w:t>DONALD</w:t>
                              </w:r>
                              <w:r>
                                <w:rPr>
                                  <w:b/>
                                  <w:color w:val="FF8100"/>
                                  <w:spacing w:val="7"/>
                                  <w:sz w:val="24"/>
                                </w:rPr>
                                <w:t> </w:t>
                              </w:r>
                              <w:r>
                                <w:rPr>
                                  <w:b/>
                                  <w:color w:val="FF8100"/>
                                  <w:sz w:val="24"/>
                                </w:rPr>
                                <w:t>G.</w:t>
                              </w:r>
                              <w:r>
                                <w:rPr>
                                  <w:b/>
                                  <w:color w:val="FF8100"/>
                                  <w:spacing w:val="7"/>
                                  <w:sz w:val="24"/>
                                </w:rPr>
                                <w:t> </w:t>
                              </w:r>
                              <w:r>
                                <w:rPr>
                                  <w:b/>
                                  <w:color w:val="FF8100"/>
                                  <w:spacing w:val="-5"/>
                                  <w:sz w:val="24"/>
                                </w:rPr>
                                <w:t>REZ</w:t>
                              </w:r>
                            </w:p>
                          </w:txbxContent>
                        </wps:txbx>
                        <wps:bodyPr wrap="square" lIns="0" tIns="0" rIns="0" bIns="0" rtlCol="0">
                          <a:noAutofit/>
                        </wps:bodyPr>
                      </wps:wsp>
                      <wps:wsp>
                        <wps:cNvPr id="15" name="Textbox 15"/>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Don Rez" stroked="false">
                  <v:imagedata r:id="rId7" o:title=""/>
                </v:shape>
                <v:rect style="position:absolute;left:6121;top:-6750;width:4777;height:4126" id="docshape5" filled="true" fillcolor="#262424" stroked="false">
                  <v:fill type="solid"/>
                </v:rect>
                <v:shape style="position:absolute;left:7016;top:-5016;width:2979;height:505" id="docshape6" coordorigin="7016,-5016" coordsize="2979,505" path="m9994,-4520l7016,-4520,7016,-4511,9994,-4511,9994,-4520xm9994,-5016l7016,-5016,7016,-5008,9994,-5008,9994,-5016xe" filled="true" fillcolor="#ffffff" stroked="false">
                  <v:path arrowok="t"/>
                  <v:fill type="solid"/>
                </v:shape>
                <v:shapetype id="_x0000_t202" o:spt="202" coordsize="21600,21600" path="m,l,21600r21600,l21600,xe">
                  <v:stroke joinstyle="miter"/>
                  <v:path gradientshapeok="t" o:connecttype="rect"/>
                </v:shapetype>
                <v:shape style="position:absolute;left:7018;top:-5971;width:2999;height:1300" type="#_x0000_t202" id="docshape7" filled="false" stroked="false">
                  <v:textbox inset="0,0,0,0">
                    <w:txbxContent>
                      <w:p>
                        <w:pPr>
                          <w:spacing w:before="0"/>
                          <w:ind w:left="0" w:right="18" w:firstLine="0"/>
                          <w:jc w:val="center"/>
                          <w:rPr>
                            <w:sz w:val="39"/>
                          </w:rPr>
                        </w:pPr>
                        <w:r>
                          <w:rPr>
                            <w:color w:val="FFFFFF"/>
                            <w:sz w:val="39"/>
                          </w:rPr>
                          <w:t>DONALD G. </w:t>
                        </w:r>
                        <w:r>
                          <w:rPr>
                            <w:color w:val="FFFFFF"/>
                            <w:spacing w:val="-5"/>
                            <w:sz w:val="39"/>
                          </w:rPr>
                          <w:t>REZ</w:t>
                        </w:r>
                      </w:p>
                      <w:p>
                        <w:pPr>
                          <w:spacing w:before="39"/>
                          <w:ind w:left="0" w:right="17"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7"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101;top:-4244;width:833;height:200" type="#_x0000_t202" id="docshape8" filled="false" stroked="false">
                  <v:textbox inset="0,0,0,0">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Diego</w:t>
                          </w:r>
                        </w:hyperlink>
                      </w:p>
                    </w:txbxContent>
                  </v:textbox>
                  <w10:wrap type="none"/>
                </v:shape>
                <v:shape style="position:absolute;left:7067;top:-3992;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619.595.3239</w:t>
                        </w:r>
                      </w:p>
                    </w:txbxContent>
                  </v:textbox>
                  <w10:wrap type="none"/>
                </v:shape>
                <v:shape style="position:absolute;left:8728;top:-3992;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619.231.4372</w:t>
                        </w:r>
                      </w:p>
                    </w:txbxContent>
                  </v:textbox>
                  <w10:wrap type="none"/>
                </v:shape>
                <v:shape style="position:absolute;left:7487;top:-3667;width:2059;height:200" type="#_x0000_t202" id="docshape11" filled="false" stroked="false">
                  <v:textbox inset="0,0,0,0">
                    <w:txbxContent>
                      <w:p>
                        <w:pPr>
                          <w:spacing w:before="2"/>
                          <w:ind w:left="0" w:right="0" w:firstLine="0"/>
                          <w:jc w:val="left"/>
                          <w:rPr>
                            <w:sz w:val="16"/>
                          </w:rPr>
                        </w:pPr>
                        <w:hyperlink r:id="rId10">
                          <w:r>
                            <w:rPr>
                              <w:color w:val="FFFFFF"/>
                              <w:spacing w:val="-2"/>
                              <w:sz w:val="16"/>
                            </w:rPr>
                            <w:t>drez@fennemorelaw.com</w:t>
                          </w:r>
                        </w:hyperlink>
                      </w:p>
                    </w:txbxContent>
                  </v:textbox>
                  <w10:wrap type="none"/>
                </v:shape>
                <v:shape style="position:absolute;left:2548;top:-1949;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124;top:-1689;width:4011;height:485" type="#_x0000_t202" id="docshape13" filled="false" stroked="false">
                  <v:textbox inset="0,0,0,0">
                    <w:txbxContent>
                      <w:p>
                        <w:pPr>
                          <w:spacing w:before="2"/>
                          <w:ind w:left="1" w:right="19" w:firstLine="0"/>
                          <w:jc w:val="center"/>
                          <w:rPr>
                            <w:sz w:val="16"/>
                          </w:rPr>
                        </w:pPr>
                        <w:r>
                          <w:rPr>
                            <w:color w:val="FFFFFF"/>
                            <w:spacing w:val="-4"/>
                            <w:sz w:val="16"/>
                          </w:rPr>
                          <w:t>Do</w:t>
                        </w:r>
                        <w:r>
                          <w:rPr>
                            <w:color w:val="FFFFFF"/>
                            <w:spacing w:val="-10"/>
                            <w:sz w:val="16"/>
                          </w:rPr>
                          <w:t> </w:t>
                        </w:r>
                        <w:r>
                          <w:rPr>
                            <w:color w:val="FFFFFF"/>
                            <w:spacing w:val="-4"/>
                            <w:sz w:val="16"/>
                          </w:rPr>
                          <w:t>justice,</w:t>
                        </w:r>
                        <w:r>
                          <w:rPr>
                            <w:color w:val="FFFFFF"/>
                            <w:spacing w:val="-10"/>
                            <w:sz w:val="16"/>
                          </w:rPr>
                          <w:t> </w:t>
                        </w:r>
                        <w:r>
                          <w:rPr>
                            <w:color w:val="FFFFFF"/>
                            <w:spacing w:val="-4"/>
                            <w:sz w:val="16"/>
                          </w:rPr>
                          <w:t>love</w:t>
                        </w:r>
                        <w:r>
                          <w:rPr>
                            <w:color w:val="FFFFFF"/>
                            <w:spacing w:val="-10"/>
                            <w:sz w:val="16"/>
                          </w:rPr>
                          <w:t> </w:t>
                        </w:r>
                        <w:r>
                          <w:rPr>
                            <w:color w:val="FFFFFF"/>
                            <w:spacing w:val="-4"/>
                            <w:sz w:val="16"/>
                          </w:rPr>
                          <w:t>goodness,</w:t>
                        </w:r>
                        <w:r>
                          <w:rPr>
                            <w:color w:val="FFFFFF"/>
                            <w:spacing w:val="-9"/>
                            <w:sz w:val="16"/>
                          </w:rPr>
                          <w:t> </w:t>
                        </w:r>
                        <w:r>
                          <w:rPr>
                            <w:color w:val="FFFFFF"/>
                            <w:spacing w:val="-4"/>
                            <w:sz w:val="16"/>
                          </w:rPr>
                          <w:t>and</w:t>
                        </w:r>
                        <w:r>
                          <w:rPr>
                            <w:color w:val="FFFFFF"/>
                            <w:spacing w:val="-10"/>
                            <w:sz w:val="16"/>
                          </w:rPr>
                          <w:t> </w:t>
                        </w:r>
                        <w:r>
                          <w:rPr>
                            <w:color w:val="FFFFFF"/>
                            <w:spacing w:val="-4"/>
                            <w:sz w:val="16"/>
                          </w:rPr>
                          <w:t>walk</w:t>
                        </w:r>
                        <w:r>
                          <w:rPr>
                            <w:color w:val="FFFFFF"/>
                            <w:spacing w:val="-10"/>
                            <w:sz w:val="16"/>
                          </w:rPr>
                          <w:t> </w:t>
                        </w:r>
                        <w:r>
                          <w:rPr>
                            <w:color w:val="FFFFFF"/>
                            <w:spacing w:val="-4"/>
                            <w:sz w:val="16"/>
                          </w:rPr>
                          <w:t>humbly</w:t>
                        </w:r>
                        <w:r>
                          <w:rPr>
                            <w:color w:val="FFFFFF"/>
                            <w:spacing w:val="-9"/>
                            <w:sz w:val="16"/>
                          </w:rPr>
                          <w:t> </w:t>
                        </w:r>
                        <w:r>
                          <w:rPr>
                            <w:color w:val="FFFFFF"/>
                            <w:spacing w:val="-4"/>
                            <w:sz w:val="16"/>
                          </w:rPr>
                          <w:t>with</w:t>
                        </w:r>
                        <w:r>
                          <w:rPr>
                            <w:color w:val="FFFFFF"/>
                            <w:spacing w:val="-10"/>
                            <w:sz w:val="16"/>
                          </w:rPr>
                          <w:t> </w:t>
                        </w:r>
                        <w:r>
                          <w:rPr>
                            <w:color w:val="FFFFFF"/>
                            <w:spacing w:val="-4"/>
                            <w:sz w:val="16"/>
                          </w:rPr>
                          <w:t>God.</w:t>
                        </w:r>
                      </w:p>
                      <w:p>
                        <w:pPr>
                          <w:spacing w:before="89"/>
                          <w:ind w:left="0" w:right="19" w:firstLine="0"/>
                          <w:jc w:val="center"/>
                          <w:rPr>
                            <w:sz w:val="16"/>
                          </w:rPr>
                        </w:pPr>
                        <w:r>
                          <w:rPr>
                            <w:color w:val="FFFFFF"/>
                            <w:spacing w:val="-5"/>
                            <w:sz w:val="16"/>
                          </w:rPr>
                          <w:t>Micah 6:8</w:t>
                        </w:r>
                      </w:p>
                    </w:txbxContent>
                  </v:textbox>
                  <w10:wrap type="none"/>
                </v:shape>
                <v:shape style="position:absolute;left:1539;top:-441;width:1837;height:296" type="#_x0000_t202" id="docshape14" filled="false" stroked="false">
                  <v:textbox inset="0,0,0,0">
                    <w:txbxContent>
                      <w:p>
                        <w:pPr>
                          <w:spacing w:before="1"/>
                          <w:ind w:left="0" w:right="0" w:firstLine="0"/>
                          <w:jc w:val="left"/>
                          <w:rPr>
                            <w:b/>
                            <w:sz w:val="24"/>
                          </w:rPr>
                        </w:pPr>
                        <w:r>
                          <w:rPr>
                            <w:b/>
                            <w:color w:val="FF8100"/>
                            <w:sz w:val="24"/>
                          </w:rPr>
                          <w:t>DONALD</w:t>
                        </w:r>
                        <w:r>
                          <w:rPr>
                            <w:b/>
                            <w:color w:val="FF8100"/>
                            <w:spacing w:val="7"/>
                            <w:sz w:val="24"/>
                          </w:rPr>
                          <w:t> </w:t>
                        </w:r>
                        <w:r>
                          <w:rPr>
                            <w:b/>
                            <w:color w:val="FF8100"/>
                            <w:sz w:val="24"/>
                          </w:rPr>
                          <w:t>G.</w:t>
                        </w:r>
                        <w:r>
                          <w:rPr>
                            <w:b/>
                            <w:color w:val="FF8100"/>
                            <w:spacing w:val="7"/>
                            <w:sz w:val="24"/>
                          </w:rPr>
                          <w:t> </w:t>
                        </w:r>
                        <w:r>
                          <w:rPr>
                            <w:b/>
                            <w:color w:val="FF8100"/>
                            <w:spacing w:val="-5"/>
                            <w:sz w:val="24"/>
                          </w:rPr>
                          <w:t>REZ</w:t>
                        </w:r>
                      </w:p>
                    </w:txbxContent>
                  </v:textbox>
                  <w10:wrap type="none"/>
                </v:shape>
                <v:shape style="position:absolute;left:8985;top:-1949;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Donald G. Rez focuses on business and commercial litigation, antitrust, and trade </w:t>
      </w:r>
      <w:r>
        <w:rPr>
          <w:color w:val="6E6158"/>
        </w:rPr>
        <w:t>regulation,</w:t>
      </w:r>
      <w:r>
        <w:rPr>
          <w:color w:val="6E6158"/>
          <w:spacing w:val="40"/>
        </w:rPr>
        <w:t> </w:t>
      </w:r>
      <w:r>
        <w:rPr>
          <w:color w:val="6E6158"/>
        </w:rPr>
        <w:t>demonstrating</w:t>
      </w:r>
      <w:r>
        <w:rPr>
          <w:color w:val="6E6158"/>
          <w:spacing w:val="40"/>
        </w:rPr>
        <w:t> </w:t>
      </w:r>
      <w:r>
        <w:rPr>
          <w:color w:val="6E6158"/>
        </w:rPr>
        <w:t>a</w:t>
      </w:r>
      <w:r>
        <w:rPr>
          <w:color w:val="6E6158"/>
          <w:spacing w:val="40"/>
        </w:rPr>
        <w:t> </w:t>
      </w:r>
      <w:r>
        <w:rPr>
          <w:color w:val="6E6158"/>
        </w:rPr>
        <w:t>commitment</w:t>
      </w:r>
      <w:r>
        <w:rPr>
          <w:color w:val="6E6158"/>
          <w:spacing w:val="40"/>
        </w:rPr>
        <w:t> </w:t>
      </w:r>
      <w:r>
        <w:rPr>
          <w:color w:val="6E6158"/>
        </w:rPr>
        <w:t>to</w:t>
      </w:r>
      <w:r>
        <w:rPr>
          <w:color w:val="6E6158"/>
          <w:spacing w:val="40"/>
        </w:rPr>
        <w:t> </w:t>
      </w:r>
      <w:r>
        <w:rPr>
          <w:color w:val="6E6158"/>
        </w:rPr>
        <w:t>strategic</w:t>
      </w:r>
      <w:r>
        <w:rPr>
          <w:color w:val="6E6158"/>
          <w:spacing w:val="40"/>
        </w:rPr>
        <w:t> </w:t>
      </w:r>
      <w:r>
        <w:rPr>
          <w:color w:val="6E6158"/>
        </w:rPr>
        <w:t>dispute</w:t>
      </w:r>
      <w:r>
        <w:rPr>
          <w:color w:val="6E6158"/>
          <w:spacing w:val="40"/>
        </w:rPr>
        <w:t> </w:t>
      </w:r>
      <w:r>
        <w:rPr>
          <w:color w:val="6E6158"/>
        </w:rPr>
        <w:t>resolution</w:t>
      </w:r>
      <w:r>
        <w:rPr>
          <w:color w:val="6E6158"/>
          <w:spacing w:val="40"/>
        </w:rPr>
        <w:t> </w:t>
      </w:r>
      <w:r>
        <w:rPr>
          <w:color w:val="6E6158"/>
        </w:rPr>
        <w:t>and</w:t>
      </w:r>
      <w:r>
        <w:rPr>
          <w:color w:val="6E6158"/>
          <w:spacing w:val="40"/>
        </w:rPr>
        <w:t> </w:t>
      </w:r>
      <w:r>
        <w:rPr>
          <w:color w:val="6E6158"/>
        </w:rPr>
        <w:t>effective</w:t>
      </w:r>
      <w:r>
        <w:rPr>
          <w:color w:val="6E6158"/>
          <w:spacing w:val="40"/>
        </w:rPr>
        <w:t> </w:t>
      </w:r>
      <w:r>
        <w:rPr>
          <w:color w:val="6E6158"/>
        </w:rPr>
        <w:t>client</w:t>
      </w:r>
    </w:p>
    <w:p>
      <w:pPr>
        <w:pStyle w:val="BodyText"/>
        <w:spacing w:line="295" w:lineRule="auto"/>
        <w:ind w:left="99"/>
      </w:pPr>
      <w:r>
        <w:rPr>
          <w:color w:val="6E6158"/>
        </w:rPr>
        <w:t>communication. His practice covers various commercial lawsuits, including antitrust, breach of</w:t>
      </w:r>
      <w:r>
        <w:rPr>
          <w:color w:val="6E6158"/>
          <w:spacing w:val="40"/>
        </w:rPr>
        <w:t> </w:t>
      </w:r>
      <w:r>
        <w:rPr>
          <w:color w:val="6E6158"/>
        </w:rPr>
        <w:t>contract, franchisor/franchisee issues, lender liability, professional malpractice, and </w:t>
      </w:r>
      <w:r>
        <w:rPr>
          <w:color w:val="6E6158"/>
        </w:rPr>
        <w:t>intellectual</w:t>
      </w:r>
      <w:r>
        <w:rPr>
          <w:color w:val="6E6158"/>
          <w:spacing w:val="40"/>
        </w:rPr>
        <w:t> </w:t>
      </w:r>
      <w:r>
        <w:rPr>
          <w:color w:val="6E6158"/>
        </w:rPr>
        <w:t>property including cases with the bankruptcy court. He adeptly handles complex multi-district</w:t>
      </w:r>
      <w:r>
        <w:rPr>
          <w:color w:val="6E6158"/>
          <w:spacing w:val="40"/>
        </w:rPr>
        <w:t> </w:t>
      </w:r>
      <w:r>
        <w:rPr>
          <w:color w:val="6E6158"/>
        </w:rPr>
        <w:t>litigation and a broad spectrum of antitrust claims.</w:t>
      </w:r>
    </w:p>
    <w:p>
      <w:pPr>
        <w:pStyle w:val="BodyText"/>
        <w:spacing w:line="295" w:lineRule="auto" w:before="187"/>
        <w:ind w:left="99" w:right="312"/>
      </w:pPr>
      <w:r>
        <w:rPr>
          <w:color w:val="6E6158"/>
        </w:rPr>
        <w:t>Representing diverse clients, from sports teams like the Former San Diego Clippers to major</w:t>
      </w:r>
      <w:r>
        <w:rPr>
          <w:color w:val="6E6158"/>
          <w:spacing w:val="40"/>
        </w:rPr>
        <w:t> </w:t>
      </w:r>
      <w:r>
        <w:rPr>
          <w:color w:val="6E6158"/>
        </w:rPr>
        <w:t>corporations such as Exxon to local companies such as Blue Tech, Inc. and court-ordered</w:t>
      </w:r>
      <w:r>
        <w:rPr>
          <w:color w:val="6E6158"/>
          <w:spacing w:val="80"/>
        </w:rPr>
        <w:t> </w:t>
      </w:r>
      <w:r>
        <w:rPr>
          <w:color w:val="6E6158"/>
        </w:rPr>
        <w:t>receiver and trustees. Donald’s representation was notably commended by a U.S. District </w:t>
      </w:r>
      <w:r>
        <w:rPr>
          <w:color w:val="6E6158"/>
        </w:rPr>
        <w:t>Court</w:t>
      </w:r>
      <w:r>
        <w:rPr>
          <w:color w:val="6E6158"/>
          <w:spacing w:val="40"/>
        </w:rPr>
        <w:t> </w:t>
      </w:r>
      <w:r>
        <w:rPr>
          <w:color w:val="6E6158"/>
        </w:rPr>
        <w:t>Judge in the approval of a significant antitrust class action settlement, (“The quality of</w:t>
      </w:r>
      <w:r>
        <w:rPr>
          <w:color w:val="6E6158"/>
          <w:spacing w:val="40"/>
        </w:rPr>
        <w:t> </w:t>
      </w:r>
      <w:r>
        <w:rPr>
          <w:color w:val="6E6158"/>
        </w:rPr>
        <w:t>representation in this matter was exceptional”) showcasing his skill in delivering results and</w:t>
      </w:r>
      <w:r>
        <w:rPr>
          <w:color w:val="6E6158"/>
          <w:spacing w:val="40"/>
        </w:rPr>
        <w:t> </w:t>
      </w:r>
      <w:r>
        <w:rPr>
          <w:color w:val="6E6158"/>
        </w:rPr>
        <w:t>maintaining strong and professional client relationships.</w:t>
      </w:r>
    </w:p>
    <w:p>
      <w:pPr>
        <w:pStyle w:val="Heading1"/>
        <w:spacing w:before="167"/>
      </w:pPr>
      <w:r>
        <w:rPr>
          <w:color w:val="FF8100"/>
          <w:spacing w:val="-2"/>
        </w:rPr>
        <w:t>EDUCATION</w:t>
      </w:r>
    </w:p>
    <w:p>
      <w:pPr>
        <w:pStyle w:val="BodyText"/>
        <w:spacing w:before="17"/>
        <w:rPr>
          <w:b/>
        </w:rPr>
      </w:pPr>
    </w:p>
    <w:p>
      <w:pPr>
        <w:spacing w:before="1"/>
        <w:ind w:left="99" w:right="0" w:firstLine="0"/>
        <w:jc w:val="left"/>
        <w:rPr>
          <w:i/>
          <w:sz w:val="20"/>
        </w:rPr>
      </w:pPr>
      <w:r>
        <w:rPr>
          <w:color w:val="6E6158"/>
          <w:sz w:val="19"/>
        </w:rPr>
        <w:t>J.D.,</w:t>
      </w:r>
      <w:r>
        <w:rPr>
          <w:color w:val="6E6158"/>
          <w:spacing w:val="6"/>
          <w:sz w:val="19"/>
        </w:rPr>
        <w:t> </w:t>
      </w:r>
      <w:r>
        <w:rPr>
          <w:color w:val="6E6158"/>
          <w:sz w:val="19"/>
        </w:rPr>
        <w:t>Harvard</w:t>
      </w:r>
      <w:r>
        <w:rPr>
          <w:color w:val="6E6158"/>
          <w:spacing w:val="7"/>
          <w:sz w:val="19"/>
        </w:rPr>
        <w:t> </w:t>
      </w:r>
      <w:r>
        <w:rPr>
          <w:color w:val="6E6158"/>
          <w:sz w:val="19"/>
        </w:rPr>
        <w:t>Law</w:t>
      </w:r>
      <w:r>
        <w:rPr>
          <w:color w:val="6E6158"/>
          <w:spacing w:val="7"/>
          <w:sz w:val="19"/>
        </w:rPr>
        <w:t> </w:t>
      </w:r>
      <w:r>
        <w:rPr>
          <w:color w:val="6E6158"/>
          <w:sz w:val="19"/>
        </w:rPr>
        <w:t>School,</w:t>
      </w:r>
      <w:r>
        <w:rPr>
          <w:color w:val="6E6158"/>
          <w:spacing w:val="7"/>
          <w:sz w:val="19"/>
        </w:rPr>
        <w:t> </w:t>
      </w:r>
      <w:r>
        <w:rPr>
          <w:i/>
          <w:color w:val="6E6158"/>
          <w:sz w:val="20"/>
        </w:rPr>
        <w:t>cum</w:t>
      </w:r>
      <w:r>
        <w:rPr>
          <w:i/>
          <w:color w:val="6E6158"/>
          <w:spacing w:val="4"/>
          <w:sz w:val="20"/>
        </w:rPr>
        <w:t> </w:t>
      </w:r>
      <w:r>
        <w:rPr>
          <w:i/>
          <w:color w:val="6E6158"/>
          <w:spacing w:val="-2"/>
          <w:sz w:val="20"/>
        </w:rPr>
        <w:t>laude</w:t>
      </w:r>
    </w:p>
    <w:p>
      <w:pPr>
        <w:pStyle w:val="BodyText"/>
        <w:spacing w:before="171"/>
        <w:ind w:left="99"/>
      </w:pPr>
      <w:r>
        <w:rPr>
          <w:color w:val="6E6158"/>
        </w:rPr>
        <w:t>B.A.,</w:t>
      </w:r>
      <w:r>
        <w:rPr>
          <w:color w:val="6E6158"/>
          <w:spacing w:val="9"/>
        </w:rPr>
        <w:t> </w:t>
      </w:r>
      <w:r>
        <w:rPr>
          <w:color w:val="6E6158"/>
        </w:rPr>
        <w:t>University</w:t>
      </w:r>
      <w:r>
        <w:rPr>
          <w:color w:val="6E6158"/>
          <w:spacing w:val="10"/>
        </w:rPr>
        <w:t> </w:t>
      </w:r>
      <w:r>
        <w:rPr>
          <w:color w:val="6E6158"/>
        </w:rPr>
        <w:t>of</w:t>
      </w:r>
      <w:r>
        <w:rPr>
          <w:color w:val="6E6158"/>
          <w:spacing w:val="9"/>
        </w:rPr>
        <w:t> </w:t>
      </w:r>
      <w:r>
        <w:rPr>
          <w:color w:val="6E6158"/>
        </w:rPr>
        <w:t>Texas,</w:t>
      </w:r>
      <w:r>
        <w:rPr>
          <w:color w:val="6E6158"/>
          <w:spacing w:val="10"/>
        </w:rPr>
        <w:t> </w:t>
      </w:r>
      <w:r>
        <w:rPr>
          <w:color w:val="6E6158"/>
        </w:rPr>
        <w:t>Highest</w:t>
      </w:r>
      <w:r>
        <w:rPr>
          <w:color w:val="6E6158"/>
          <w:spacing w:val="10"/>
        </w:rPr>
        <w:t> </w:t>
      </w:r>
      <w:r>
        <w:rPr>
          <w:color w:val="6E6158"/>
          <w:spacing w:val="-2"/>
        </w:rPr>
        <w:t>Honors</w:t>
      </w:r>
    </w:p>
    <w:p>
      <w:pPr>
        <w:pStyle w:val="BodyText"/>
        <w:spacing w:before="163"/>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rPr>
          <w:b/>
        </w:rPr>
      </w:pPr>
    </w:p>
    <w:p>
      <w:pPr>
        <w:pStyle w:val="BodyText"/>
        <w:spacing w:line="427" w:lineRule="auto"/>
        <w:ind w:left="99" w:right="6605"/>
      </w:pPr>
      <w:r>
        <w:rPr>
          <w:color w:val="6E6158"/>
        </w:rPr>
        <w:t>Business Litigation Professional </w:t>
      </w:r>
      <w:r>
        <w:rPr>
          <w:color w:val="6E6158"/>
        </w:rPr>
        <w:t>Liability</w:t>
      </w:r>
    </w:p>
    <w:p>
      <w:pPr>
        <w:pStyle w:val="Heading1"/>
        <w:spacing w:before="276"/>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Heading1"/>
        <w:spacing w:after="0"/>
        <w:sectPr>
          <w:type w:val="continuous"/>
          <w:pgSz w:w="12240" w:h="15840"/>
          <w:pgMar w:top="560" w:bottom="280" w:left="1440" w:right="1440"/>
        </w:sectPr>
      </w:pPr>
    </w:p>
    <w:p>
      <w:pPr>
        <w:pStyle w:val="BodyText"/>
        <w:spacing w:before="83"/>
        <w:ind w:left="99"/>
      </w:pPr>
      <w:r>
        <w:rPr>
          <w:color w:val="6E6158"/>
        </w:rPr>
        <w:t>AV®</w:t>
      </w:r>
      <w:r>
        <w:rPr>
          <w:color w:val="6E6158"/>
          <w:spacing w:val="10"/>
        </w:rPr>
        <w:t> </w:t>
      </w:r>
      <w:r>
        <w:rPr>
          <w:color w:val="6E6158"/>
        </w:rPr>
        <w:t>Preeminent™</w:t>
      </w:r>
      <w:r>
        <w:rPr>
          <w:color w:val="6E6158"/>
          <w:spacing w:val="11"/>
        </w:rPr>
        <w:t> </w:t>
      </w:r>
      <w:r>
        <w:rPr>
          <w:color w:val="6E6158"/>
        </w:rPr>
        <w:t>Peer</w:t>
      </w:r>
      <w:r>
        <w:rPr>
          <w:color w:val="6E6158"/>
          <w:spacing w:val="11"/>
        </w:rPr>
        <w:t> </w:t>
      </w:r>
      <w:r>
        <w:rPr>
          <w:color w:val="6E6158"/>
        </w:rPr>
        <w:t>Review</w:t>
      </w:r>
      <w:r>
        <w:rPr>
          <w:color w:val="6E6158"/>
          <w:spacing w:val="11"/>
        </w:rPr>
        <w:t> </w:t>
      </w:r>
      <w:r>
        <w:rPr>
          <w:color w:val="6E6158"/>
        </w:rPr>
        <w:t>Rating</w:t>
      </w:r>
      <w:r>
        <w:rPr>
          <w:color w:val="6E6158"/>
          <w:spacing w:val="11"/>
        </w:rPr>
        <w:t> </w:t>
      </w:r>
      <w:r>
        <w:rPr>
          <w:color w:val="6E6158"/>
        </w:rPr>
        <w:t>by</w:t>
      </w:r>
      <w:r>
        <w:rPr>
          <w:color w:val="6E6158"/>
          <w:spacing w:val="11"/>
        </w:rPr>
        <w:t> </w:t>
      </w:r>
      <w:r>
        <w:rPr>
          <w:color w:val="6E6158"/>
        </w:rPr>
        <w:t>Martindale-Hubbell,</w:t>
      </w:r>
      <w:r>
        <w:rPr>
          <w:color w:val="6E6158"/>
          <w:spacing w:val="11"/>
        </w:rPr>
        <w:t> </w:t>
      </w:r>
      <w:r>
        <w:rPr>
          <w:color w:val="6E6158"/>
        </w:rPr>
        <w:t>for</w:t>
      </w:r>
      <w:r>
        <w:rPr>
          <w:color w:val="6E6158"/>
          <w:spacing w:val="11"/>
        </w:rPr>
        <w:t> </w:t>
      </w:r>
      <w:r>
        <w:rPr>
          <w:color w:val="6E6158"/>
        </w:rPr>
        <w:t>more</w:t>
      </w:r>
      <w:r>
        <w:rPr>
          <w:color w:val="6E6158"/>
          <w:spacing w:val="11"/>
        </w:rPr>
        <w:t> </w:t>
      </w:r>
      <w:r>
        <w:rPr>
          <w:color w:val="6E6158"/>
        </w:rPr>
        <w:t>than</w:t>
      </w:r>
      <w:r>
        <w:rPr>
          <w:color w:val="6E6158"/>
          <w:spacing w:val="10"/>
        </w:rPr>
        <w:t> </w:t>
      </w:r>
      <w:r>
        <w:rPr>
          <w:color w:val="6E6158"/>
        </w:rPr>
        <w:t>30</w:t>
      </w:r>
      <w:r>
        <w:rPr>
          <w:color w:val="6E6158"/>
          <w:spacing w:val="11"/>
        </w:rPr>
        <w:t> </w:t>
      </w:r>
      <w:r>
        <w:rPr>
          <w:color w:val="6E6158"/>
          <w:spacing w:val="-2"/>
        </w:rPr>
        <w:t>years.</w:t>
      </w:r>
    </w:p>
    <w:p>
      <w:pPr>
        <w:spacing w:line="405" w:lineRule="auto" w:before="167"/>
        <w:ind w:left="99" w:right="3609" w:firstLine="0"/>
        <w:jc w:val="left"/>
        <w:rPr>
          <w:sz w:val="19"/>
        </w:rPr>
      </w:pPr>
      <w:r>
        <w:rPr>
          <w:i/>
          <w:color w:val="6E6158"/>
          <w:sz w:val="20"/>
        </w:rPr>
        <w:t>Best Lawyers in America</w:t>
      </w:r>
      <w:r>
        <w:rPr>
          <w:i/>
          <w:color w:val="6E6158"/>
          <w:position w:val="7"/>
          <w:sz w:val="16"/>
        </w:rPr>
        <w:t>®</w:t>
      </w:r>
      <w:r>
        <w:rPr>
          <w:color w:val="6E6158"/>
          <w:sz w:val="19"/>
        </w:rPr>
        <w:t>, Commercial Litigation, 2018-2026 </w:t>
      </w:r>
      <w:r>
        <w:rPr>
          <w:i/>
          <w:color w:val="6E6158"/>
          <w:sz w:val="20"/>
        </w:rPr>
        <w:t>Super Lawyers</w:t>
      </w:r>
      <w:r>
        <w:rPr>
          <w:i/>
          <w:color w:val="6E6158"/>
          <w:position w:val="7"/>
          <w:sz w:val="16"/>
        </w:rPr>
        <w:t>®</w:t>
      </w:r>
      <w:r>
        <w:rPr>
          <w:i/>
          <w:color w:val="6E6158"/>
          <w:sz w:val="20"/>
        </w:rPr>
        <w:t>, </w:t>
      </w:r>
      <w:r>
        <w:rPr>
          <w:color w:val="6E6158"/>
          <w:sz w:val="19"/>
        </w:rPr>
        <w:t>Business/Corporate, 2008-2010, 2014-2026 </w:t>
      </w:r>
      <w:r>
        <w:rPr>
          <w:i/>
          <w:color w:val="6E6158"/>
          <w:sz w:val="20"/>
        </w:rPr>
        <w:t>Super Lawyers</w:t>
      </w:r>
      <w:r>
        <w:rPr>
          <w:i/>
          <w:color w:val="6E6158"/>
          <w:position w:val="7"/>
          <w:sz w:val="16"/>
        </w:rPr>
        <w:t>®</w:t>
      </w:r>
      <w:r>
        <w:rPr>
          <w:i/>
          <w:color w:val="6E6158"/>
          <w:sz w:val="20"/>
        </w:rPr>
        <w:t>, </w:t>
      </w:r>
      <w:r>
        <w:rPr>
          <w:color w:val="6E6158"/>
          <w:sz w:val="19"/>
        </w:rPr>
        <w:t>Top 50 San Diego Super Lawyers, 2019-</w:t>
      </w:r>
      <w:r>
        <w:rPr>
          <w:color w:val="6E6158"/>
          <w:sz w:val="19"/>
        </w:rPr>
        <w:t>2020 Top 1% of The American Registry, “Best of the Best.”</w:t>
      </w:r>
    </w:p>
    <w:p>
      <w:pPr>
        <w:pStyle w:val="BodyText"/>
        <w:spacing w:before="14"/>
        <w:ind w:left="99"/>
      </w:pPr>
      <w:r>
        <w:rPr>
          <w:color w:val="6E6158"/>
        </w:rPr>
        <w:t>Martindale-Hubbell</w:t>
      </w:r>
      <w:r>
        <w:rPr>
          <w:color w:val="6E6158"/>
          <w:spacing w:val="14"/>
        </w:rPr>
        <w:t> </w:t>
      </w:r>
      <w:r>
        <w:rPr>
          <w:color w:val="6E6158"/>
        </w:rPr>
        <w:t>Peer</w:t>
      </w:r>
      <w:r>
        <w:rPr>
          <w:color w:val="6E6158"/>
          <w:spacing w:val="14"/>
        </w:rPr>
        <w:t> </w:t>
      </w:r>
      <w:r>
        <w:rPr>
          <w:color w:val="6E6158"/>
        </w:rPr>
        <w:t>Review</w:t>
      </w:r>
      <w:r>
        <w:rPr>
          <w:color w:val="6E6158"/>
          <w:spacing w:val="14"/>
        </w:rPr>
        <w:t> </w:t>
      </w:r>
      <w:r>
        <w:rPr>
          <w:color w:val="6E6158"/>
        </w:rPr>
        <w:t>for</w:t>
      </w:r>
      <w:r>
        <w:rPr>
          <w:color w:val="6E6158"/>
          <w:spacing w:val="14"/>
        </w:rPr>
        <w:t> </w:t>
      </w:r>
      <w:r>
        <w:rPr>
          <w:color w:val="6E6158"/>
        </w:rPr>
        <w:t>achieving</w:t>
      </w:r>
      <w:r>
        <w:rPr>
          <w:color w:val="6E6158"/>
          <w:spacing w:val="15"/>
        </w:rPr>
        <w:t> </w:t>
      </w:r>
      <w:r>
        <w:rPr>
          <w:color w:val="6E6158"/>
        </w:rPr>
        <w:t>the</w:t>
      </w:r>
      <w:r>
        <w:rPr>
          <w:color w:val="6E6158"/>
          <w:spacing w:val="14"/>
        </w:rPr>
        <w:t> </w:t>
      </w:r>
      <w:r>
        <w:rPr>
          <w:color w:val="6E6158"/>
        </w:rPr>
        <w:t>highest</w:t>
      </w:r>
      <w:r>
        <w:rPr>
          <w:color w:val="6E6158"/>
          <w:spacing w:val="14"/>
        </w:rPr>
        <w:t> </w:t>
      </w:r>
      <w:r>
        <w:rPr>
          <w:color w:val="6E6158"/>
        </w:rPr>
        <w:t>level</w:t>
      </w:r>
      <w:r>
        <w:rPr>
          <w:color w:val="6E6158"/>
          <w:spacing w:val="14"/>
        </w:rPr>
        <w:t> </w:t>
      </w:r>
      <w:r>
        <w:rPr>
          <w:color w:val="6E6158"/>
        </w:rPr>
        <w:t>of</w:t>
      </w:r>
      <w:r>
        <w:rPr>
          <w:color w:val="6E6158"/>
          <w:spacing w:val="15"/>
        </w:rPr>
        <w:t> </w:t>
      </w:r>
      <w:r>
        <w:rPr>
          <w:color w:val="6E6158"/>
        </w:rPr>
        <w:t>professional</w:t>
      </w:r>
      <w:r>
        <w:rPr>
          <w:color w:val="6E6158"/>
          <w:spacing w:val="14"/>
        </w:rPr>
        <w:t> </w:t>
      </w:r>
      <w:r>
        <w:rPr>
          <w:color w:val="6E6158"/>
          <w:spacing w:val="-2"/>
        </w:rPr>
        <w:t>excellence</w:t>
      </w:r>
    </w:p>
    <w:p>
      <w:pPr>
        <w:pStyle w:val="BodyText"/>
        <w:spacing w:before="171"/>
        <w:rPr>
          <w:sz w:val="24"/>
        </w:rPr>
      </w:pPr>
    </w:p>
    <w:p>
      <w:pPr>
        <w:pStyle w:val="Heading1"/>
      </w:pPr>
      <w:r>
        <w:rPr>
          <w:color w:val="FF8100"/>
        </w:rPr>
        <w:t>ARTICLES</w:t>
      </w:r>
      <w:r>
        <w:rPr>
          <w:color w:val="FF8100"/>
          <w:spacing w:val="8"/>
        </w:rPr>
        <w:t> </w:t>
      </w:r>
      <w:r>
        <w:rPr>
          <w:color w:val="FF8100"/>
        </w:rPr>
        <w:t>AND</w:t>
      </w:r>
      <w:r>
        <w:rPr>
          <w:color w:val="FF8100"/>
          <w:spacing w:val="9"/>
        </w:rPr>
        <w:t> </w:t>
      </w:r>
      <w:r>
        <w:rPr>
          <w:color w:val="FF8100"/>
          <w:spacing w:val="-2"/>
        </w:rPr>
        <w:t>PRESENTATION</w:t>
      </w:r>
    </w:p>
    <w:p>
      <w:pPr>
        <w:pStyle w:val="BodyText"/>
        <w:spacing w:before="28"/>
        <w:rPr>
          <w:b/>
        </w:rPr>
      </w:pPr>
    </w:p>
    <w:p>
      <w:pPr>
        <w:pStyle w:val="BodyText"/>
        <w:spacing w:line="292" w:lineRule="auto"/>
        <w:ind w:left="99" w:right="104"/>
      </w:pPr>
      <w:hyperlink r:id="rId11">
        <w:r>
          <w:rPr>
            <w:color w:val="F5821F"/>
          </w:rPr>
          <w:t>California</w:t>
        </w:r>
        <w:r>
          <w:rPr>
            <w:color w:val="F5821F"/>
            <w:spacing w:val="16"/>
          </w:rPr>
          <w:t> </w:t>
        </w:r>
        <w:r>
          <w:rPr>
            <w:color w:val="F5821F"/>
          </w:rPr>
          <w:t>Pretrial</w:t>
        </w:r>
        <w:r>
          <w:rPr>
            <w:color w:val="F5821F"/>
            <w:spacing w:val="16"/>
          </w:rPr>
          <w:t> </w:t>
        </w:r>
        <w:r>
          <w:rPr>
            <w:color w:val="F5821F"/>
          </w:rPr>
          <w:t>Practice</w:t>
        </w:r>
        <w:r>
          <w:rPr>
            <w:color w:val="F5821F"/>
            <w:spacing w:val="16"/>
          </w:rPr>
          <w:t> </w:t>
        </w:r>
        <w:r>
          <w:rPr>
            <w:color w:val="F5821F"/>
          </w:rPr>
          <w:t>&amp;</w:t>
        </w:r>
        <w:r>
          <w:rPr>
            <w:color w:val="F5821F"/>
            <w:spacing w:val="16"/>
          </w:rPr>
          <w:t> </w:t>
        </w:r>
        <w:r>
          <w:rPr>
            <w:color w:val="F5821F"/>
          </w:rPr>
          <w:t>Forms</w:t>
        </w:r>
      </w:hyperlink>
      <w:r>
        <w:rPr>
          <w:color w:val="6E6158"/>
        </w:rPr>
        <w:t>,</w:t>
      </w:r>
      <w:r>
        <w:rPr>
          <w:color w:val="6E6158"/>
          <w:spacing w:val="16"/>
        </w:rPr>
        <w:t> </w:t>
      </w:r>
      <w:r>
        <w:rPr>
          <w:color w:val="6E6158"/>
        </w:rPr>
        <w:t>Kane</w:t>
      </w:r>
      <w:r>
        <w:rPr>
          <w:color w:val="6E6158"/>
          <w:spacing w:val="16"/>
        </w:rPr>
        <w:t> </w:t>
      </w:r>
      <w:r>
        <w:rPr>
          <w:color w:val="6E6158"/>
        </w:rPr>
        <w:t>&amp;</w:t>
      </w:r>
      <w:r>
        <w:rPr>
          <w:color w:val="6E6158"/>
          <w:spacing w:val="16"/>
        </w:rPr>
        <w:t> </w:t>
      </w:r>
      <w:r>
        <w:rPr>
          <w:color w:val="6E6158"/>
        </w:rPr>
        <w:t>Rez,</w:t>
      </w:r>
      <w:r>
        <w:rPr>
          <w:color w:val="6E6158"/>
          <w:spacing w:val="16"/>
        </w:rPr>
        <w:t> </w:t>
      </w:r>
      <w:r>
        <w:rPr>
          <w:color w:val="6E6158"/>
        </w:rPr>
        <w:t>James</w:t>
      </w:r>
      <w:r>
        <w:rPr>
          <w:color w:val="6E6158"/>
          <w:spacing w:val="16"/>
        </w:rPr>
        <w:t> </w:t>
      </w:r>
      <w:r>
        <w:rPr>
          <w:color w:val="6E6158"/>
        </w:rPr>
        <w:t>Publishing</w:t>
      </w:r>
      <w:r>
        <w:rPr>
          <w:color w:val="6E6158"/>
          <w:spacing w:val="16"/>
        </w:rPr>
        <w:t> </w:t>
      </w:r>
      <w:r>
        <w:rPr>
          <w:color w:val="6E6158"/>
        </w:rPr>
        <w:t>Company,</w:t>
      </w:r>
      <w:r>
        <w:rPr>
          <w:color w:val="6E6158"/>
          <w:spacing w:val="16"/>
        </w:rPr>
        <w:t> </w:t>
      </w:r>
      <w:r>
        <w:rPr>
          <w:color w:val="6E6158"/>
        </w:rPr>
        <w:t>2003</w:t>
      </w:r>
      <w:r>
        <w:rPr>
          <w:color w:val="6E6158"/>
          <w:spacing w:val="16"/>
        </w:rPr>
        <w:t> </w:t>
      </w:r>
      <w:r>
        <w:rPr>
          <w:color w:val="6E6158"/>
        </w:rPr>
        <w:t>updated</w:t>
      </w:r>
      <w:r>
        <w:rPr>
          <w:color w:val="6E6158"/>
          <w:spacing w:val="16"/>
        </w:rPr>
        <w:t> </w:t>
      </w:r>
      <w:r>
        <w:rPr>
          <w:color w:val="6E6158"/>
        </w:rPr>
        <w:t>2004-</w:t>
      </w:r>
      <w:r>
        <w:rPr>
          <w:color w:val="6E6158"/>
          <w:spacing w:val="-4"/>
        </w:rPr>
        <w:t>2017</w:t>
      </w:r>
    </w:p>
    <w:p>
      <w:pPr>
        <w:pStyle w:val="BodyText"/>
        <w:spacing w:line="295" w:lineRule="auto" w:before="123"/>
        <w:ind w:left="99"/>
      </w:pPr>
      <w:r>
        <w:rPr>
          <w:color w:val="6E6158"/>
        </w:rPr>
        <w:t>Presenter, “</w:t>
      </w:r>
      <w:hyperlink r:id="rId12">
        <w:r>
          <w:rPr>
            <w:color w:val="F5821F"/>
          </w:rPr>
          <w:t>California’s Prohibition Against Non-Compete Agreements (B&amp;P Code § 16600), the</w:t>
        </w:r>
      </w:hyperlink>
      <w:r>
        <w:rPr>
          <w:color w:val="F5821F"/>
          <w:spacing w:val="40"/>
        </w:rPr>
        <w:t> </w:t>
      </w:r>
      <w:hyperlink r:id="rId12">
        <w:r>
          <w:rPr>
            <w:color w:val="F5821F"/>
          </w:rPr>
          <w:t>Protection of Trade Secrets and the Practical Relationship Between the Two,</w:t>
        </w:r>
      </w:hyperlink>
      <w:r>
        <w:rPr>
          <w:color w:val="6E6158"/>
        </w:rPr>
        <w:t>” Sullivan Hill Rez and</w:t>
      </w:r>
      <w:r>
        <w:rPr>
          <w:color w:val="6E6158"/>
          <w:spacing w:val="40"/>
        </w:rPr>
        <w:t> </w:t>
      </w:r>
      <w:r>
        <w:rPr>
          <w:color w:val="6E6158"/>
        </w:rPr>
        <w:t>Engel</w:t>
      </w:r>
      <w:r>
        <w:rPr>
          <w:color w:val="6E6158"/>
          <w:spacing w:val="32"/>
        </w:rPr>
        <w:t> </w:t>
      </w:r>
      <w:r>
        <w:rPr>
          <w:color w:val="6E6158"/>
        </w:rPr>
        <w:t>CLE</w:t>
      </w:r>
      <w:r>
        <w:rPr>
          <w:color w:val="6E6158"/>
          <w:spacing w:val="32"/>
        </w:rPr>
        <w:t> </w:t>
      </w:r>
      <w:r>
        <w:rPr>
          <w:color w:val="6E6158"/>
        </w:rPr>
        <w:t>Seminar</w:t>
      </w:r>
      <w:r>
        <w:rPr>
          <w:color w:val="6E6158"/>
          <w:spacing w:val="32"/>
        </w:rPr>
        <w:t> </w:t>
      </w:r>
      <w:r>
        <w:rPr>
          <w:color w:val="6E6158"/>
        </w:rPr>
        <w:t>(September</w:t>
      </w:r>
      <w:r>
        <w:rPr>
          <w:color w:val="6E6158"/>
          <w:spacing w:val="32"/>
        </w:rPr>
        <w:t> </w:t>
      </w:r>
      <w:r>
        <w:rPr>
          <w:color w:val="6E6158"/>
        </w:rPr>
        <w:t>2022);</w:t>
      </w:r>
      <w:r>
        <w:rPr>
          <w:color w:val="6E6158"/>
          <w:spacing w:val="32"/>
        </w:rPr>
        <w:t> </w:t>
      </w:r>
      <w:r>
        <w:rPr>
          <w:color w:val="6E6158"/>
        </w:rPr>
        <w:t>Meritas</w:t>
      </w:r>
      <w:r>
        <w:rPr>
          <w:color w:val="6E6158"/>
          <w:spacing w:val="32"/>
        </w:rPr>
        <w:t> </w:t>
      </w:r>
      <w:r>
        <w:rPr>
          <w:color w:val="6E6158"/>
        </w:rPr>
        <w:t>Capability</w:t>
      </w:r>
      <w:r>
        <w:rPr>
          <w:color w:val="6E6158"/>
          <w:spacing w:val="32"/>
        </w:rPr>
        <w:t> </w:t>
      </w:r>
      <w:r>
        <w:rPr>
          <w:color w:val="6E6158"/>
        </w:rPr>
        <w:t>Webinar</w:t>
      </w:r>
      <w:r>
        <w:rPr>
          <w:color w:val="6E6158"/>
          <w:spacing w:val="32"/>
        </w:rPr>
        <w:t> </w:t>
      </w:r>
      <w:r>
        <w:rPr>
          <w:color w:val="6E6158"/>
        </w:rPr>
        <w:t>Series,</w:t>
      </w:r>
      <w:r>
        <w:rPr>
          <w:color w:val="6E6158"/>
          <w:spacing w:val="32"/>
        </w:rPr>
        <w:t> </w:t>
      </w:r>
      <w:r>
        <w:rPr>
          <w:color w:val="6E6158"/>
        </w:rPr>
        <w:t>San</w:t>
      </w:r>
      <w:r>
        <w:rPr>
          <w:color w:val="6E6158"/>
          <w:spacing w:val="32"/>
        </w:rPr>
        <w:t> </w:t>
      </w:r>
      <w:r>
        <w:rPr>
          <w:color w:val="6E6158"/>
        </w:rPr>
        <w:t>Diego,</w:t>
      </w:r>
      <w:r>
        <w:rPr>
          <w:color w:val="6E6158"/>
          <w:spacing w:val="32"/>
        </w:rPr>
        <w:t> </w:t>
      </w:r>
      <w:r>
        <w:rPr>
          <w:color w:val="6E6158"/>
        </w:rPr>
        <w:t>April</w:t>
      </w:r>
      <w:r>
        <w:rPr>
          <w:color w:val="6E6158"/>
          <w:spacing w:val="32"/>
        </w:rPr>
        <w:t> </w:t>
      </w:r>
      <w:r>
        <w:rPr>
          <w:color w:val="6E6158"/>
        </w:rPr>
        <w:t>2015, and California Western School of Law, Business Law Society, March 2015</w:t>
      </w:r>
    </w:p>
    <w:p>
      <w:pPr>
        <w:pStyle w:val="BodyText"/>
        <w:spacing w:before="124"/>
        <w:ind w:left="99"/>
      </w:pPr>
      <w:r>
        <w:rPr>
          <w:color w:val="6E6158"/>
        </w:rPr>
        <w:t>Presenter,</w:t>
      </w:r>
      <w:r>
        <w:rPr>
          <w:color w:val="6E6158"/>
          <w:spacing w:val="13"/>
        </w:rPr>
        <w:t> </w:t>
      </w:r>
      <w:r>
        <w:rPr>
          <w:color w:val="6E6158"/>
        </w:rPr>
        <w:t>“eDiscovery</w:t>
      </w:r>
      <w:r>
        <w:rPr>
          <w:color w:val="6E6158"/>
          <w:spacing w:val="13"/>
        </w:rPr>
        <w:t> </w:t>
      </w:r>
      <w:r>
        <w:rPr>
          <w:color w:val="6E6158"/>
        </w:rPr>
        <w:t>Essentials,”</w:t>
      </w:r>
      <w:r>
        <w:rPr>
          <w:color w:val="6E6158"/>
          <w:spacing w:val="13"/>
        </w:rPr>
        <w:t> </w:t>
      </w:r>
      <w:r>
        <w:rPr>
          <w:color w:val="6E6158"/>
        </w:rPr>
        <w:t>Network</w:t>
      </w:r>
      <w:r>
        <w:rPr>
          <w:color w:val="6E6158"/>
          <w:spacing w:val="13"/>
        </w:rPr>
        <w:t> </w:t>
      </w:r>
      <w:r>
        <w:rPr>
          <w:color w:val="6E6158"/>
        </w:rPr>
        <w:t>Deposition</w:t>
      </w:r>
      <w:r>
        <w:rPr>
          <w:color w:val="6E6158"/>
          <w:spacing w:val="14"/>
        </w:rPr>
        <w:t> </w:t>
      </w:r>
      <w:r>
        <w:rPr>
          <w:color w:val="6E6158"/>
        </w:rPr>
        <w:t>Services</w:t>
      </w:r>
      <w:r>
        <w:rPr>
          <w:color w:val="6E6158"/>
          <w:spacing w:val="13"/>
        </w:rPr>
        <w:t> </w:t>
      </w:r>
      <w:r>
        <w:rPr>
          <w:color w:val="6E6158"/>
        </w:rPr>
        <w:t>Inc.,</w:t>
      </w:r>
      <w:r>
        <w:rPr>
          <w:color w:val="6E6158"/>
          <w:spacing w:val="13"/>
        </w:rPr>
        <w:t> </w:t>
      </w:r>
      <w:r>
        <w:rPr>
          <w:color w:val="6E6158"/>
        </w:rPr>
        <w:t>San</w:t>
      </w:r>
      <w:r>
        <w:rPr>
          <w:color w:val="6E6158"/>
          <w:spacing w:val="13"/>
        </w:rPr>
        <w:t> </w:t>
      </w:r>
      <w:r>
        <w:rPr>
          <w:color w:val="6E6158"/>
        </w:rPr>
        <w:t>Diego,</w:t>
      </w:r>
      <w:r>
        <w:rPr>
          <w:color w:val="6E6158"/>
          <w:spacing w:val="13"/>
        </w:rPr>
        <w:t> </w:t>
      </w:r>
      <w:r>
        <w:rPr>
          <w:color w:val="6E6158"/>
        </w:rPr>
        <w:t>May</w:t>
      </w:r>
      <w:r>
        <w:rPr>
          <w:color w:val="6E6158"/>
          <w:spacing w:val="14"/>
        </w:rPr>
        <w:t> </w:t>
      </w:r>
      <w:r>
        <w:rPr>
          <w:color w:val="6E6158"/>
          <w:spacing w:val="-2"/>
        </w:rPr>
        <w:t>2014.</w:t>
      </w:r>
    </w:p>
    <w:p>
      <w:pPr>
        <w:pStyle w:val="BodyText"/>
        <w:spacing w:line="292" w:lineRule="auto" w:before="182"/>
        <w:ind w:left="99" w:right="514"/>
      </w:pPr>
      <w:r>
        <w:rPr>
          <w:color w:val="6E6158"/>
        </w:rPr>
        <w:t>Co-Presenter (with Judge Meyers), “Recent Developments in California Civil Procedure,” </w:t>
      </w:r>
      <w:r>
        <w:rPr>
          <w:color w:val="6E6158"/>
        </w:rPr>
        <w:t>San</w:t>
      </w:r>
      <w:r>
        <w:rPr>
          <w:color w:val="6E6158"/>
          <w:spacing w:val="40"/>
        </w:rPr>
        <w:t> </w:t>
      </w:r>
      <w:r>
        <w:rPr>
          <w:color w:val="6E6158"/>
        </w:rPr>
        <w:t>Diego County Bar Association (Civil Litigation Section), April 2014</w:t>
      </w:r>
    </w:p>
    <w:p>
      <w:pPr>
        <w:pStyle w:val="BodyText"/>
        <w:spacing w:line="292" w:lineRule="auto" w:before="123"/>
        <w:ind w:left="99"/>
      </w:pPr>
      <w:r>
        <w:rPr>
          <w:color w:val="6E6158"/>
        </w:rPr>
        <w:t>Presenter, Webinar, “What Works Well in Mediation?” San Diego County Bar Association (Civil Litigation Section), November 2013</w:t>
      </w:r>
    </w:p>
    <w:p>
      <w:pPr>
        <w:pStyle w:val="BodyText"/>
        <w:spacing w:line="292" w:lineRule="auto" w:before="131"/>
        <w:ind w:left="99" w:right="514"/>
      </w:pPr>
      <w:r>
        <w:rPr>
          <w:color w:val="6E6158"/>
        </w:rPr>
        <w:t>Presenter, “Recent Developments in California Civil Procedure,” San Diego County </w:t>
      </w:r>
      <w:r>
        <w:rPr>
          <w:color w:val="6E6158"/>
        </w:rPr>
        <w:t>Bar Association Civil Litigation Section, March 2013</w:t>
      </w:r>
    </w:p>
    <w:p>
      <w:pPr>
        <w:pStyle w:val="BodyText"/>
        <w:spacing w:line="292" w:lineRule="auto" w:before="124"/>
        <w:ind w:left="99" w:right="514"/>
      </w:pPr>
      <w:r>
        <w:rPr>
          <w:color w:val="6E6158"/>
        </w:rPr>
        <w:t>Presenter, “Everything You Need to Know: Motion for Summary Judgment,” San Diego </w:t>
      </w:r>
      <w:r>
        <w:rPr>
          <w:color w:val="6E6158"/>
        </w:rPr>
        <w:t>County Bar Association (Civil Litigation Section), April 2012</w:t>
      </w:r>
    </w:p>
    <w:p>
      <w:pPr>
        <w:pStyle w:val="BodyText"/>
        <w:spacing w:line="420" w:lineRule="auto" w:before="131"/>
        <w:ind w:left="99"/>
      </w:pPr>
      <w:r>
        <w:rPr>
          <w:color w:val="6E6158"/>
        </w:rPr>
        <w:t>Presenter, “The Art of the Deposition: Deposition Procedure,” Veritext San Diego, February </w:t>
      </w:r>
      <w:r>
        <w:rPr>
          <w:color w:val="6E6158"/>
        </w:rPr>
        <w:t>2012. Presenter, “E-Discovery in the Mobile Age,” Veritext San Diego, August 2011</w:t>
      </w:r>
    </w:p>
    <w:p>
      <w:pPr>
        <w:pStyle w:val="BodyText"/>
        <w:spacing w:line="292" w:lineRule="auto"/>
        <w:ind w:left="99"/>
      </w:pPr>
      <w:r>
        <w:rPr>
          <w:color w:val="6E6158"/>
        </w:rPr>
        <w:t>Presenter in Southern California seminar series entitled “Foreclosure Prevention &amp; Debt Relief </w:t>
      </w:r>
      <w:r>
        <w:rPr>
          <w:color w:val="6E6158"/>
        </w:rPr>
        <w:t>for</w:t>
      </w:r>
      <w:r>
        <w:rPr>
          <w:color w:val="6E6158"/>
          <w:spacing w:val="40"/>
        </w:rPr>
        <w:t> </w:t>
      </w:r>
      <w:r>
        <w:rPr>
          <w:color w:val="6E6158"/>
          <w:spacing w:val="-2"/>
        </w:rPr>
        <w:t>Lawyers”</w:t>
      </w:r>
    </w:p>
    <w:p>
      <w:pPr>
        <w:pStyle w:val="BodyText"/>
        <w:spacing w:line="292" w:lineRule="auto" w:before="130"/>
        <w:ind w:left="99" w:right="312"/>
      </w:pPr>
      <w:r>
        <w:rPr>
          <w:color w:val="6E6158"/>
        </w:rPr>
        <w:t>Lecturer, “E-Discovery Under the New Federal Rules of Civil Procedure,” Meritas Litigation Section</w:t>
      </w:r>
      <w:r>
        <w:rPr>
          <w:color w:val="6E6158"/>
          <w:spacing w:val="40"/>
        </w:rPr>
        <w:t> </w:t>
      </w:r>
      <w:r>
        <w:rPr>
          <w:color w:val="6E6158"/>
        </w:rPr>
        <w:t>Meeting, 2006</w:t>
      </w:r>
    </w:p>
    <w:p>
      <w:pPr>
        <w:pStyle w:val="BodyText"/>
        <w:spacing w:line="422" w:lineRule="auto" w:before="123"/>
        <w:ind w:left="99" w:right="1405"/>
      </w:pPr>
      <w:r>
        <w:rPr>
          <w:color w:val="6E6158"/>
        </w:rPr>
        <w:t>Faculty, Developing Deposition Skills, National Institute of Trial Advocacy NITA, 1999 Adjunct Professor of Law, Pretrial Procedures, California Western School of Law, 1984 Guest Lecturer, Antitrust Law Seminar, University of San Diego, 1999</w:t>
      </w:r>
    </w:p>
    <w:p>
      <w:pPr>
        <w:pStyle w:val="BodyText"/>
        <w:spacing w:line="292" w:lineRule="auto"/>
        <w:ind w:left="99" w:right="514"/>
      </w:pPr>
      <w:r>
        <w:rPr>
          <w:color w:val="6E6158"/>
        </w:rPr>
        <w:t>Lecturer Business Litigation in the 1990’s – Tactics and Techniques, San Diego County Bar Association – Section on General Civil Litigation, 1989</w:t>
      </w:r>
    </w:p>
    <w:p>
      <w:pPr>
        <w:pStyle w:val="BodyText"/>
        <w:spacing w:line="420" w:lineRule="auto" w:before="130"/>
        <w:ind w:left="99" w:right="514"/>
      </w:pPr>
      <w:r>
        <w:rPr>
          <w:color w:val="6E6158"/>
        </w:rPr>
        <w:t>Lecturer, Use of Videotaped Depositions, California Continuing Education of the Bar, 1982 Antitrust</w:t>
      </w:r>
      <w:r>
        <w:rPr>
          <w:color w:val="6E6158"/>
          <w:spacing w:val="13"/>
        </w:rPr>
        <w:t> </w:t>
      </w:r>
      <w:r>
        <w:rPr>
          <w:color w:val="6E6158"/>
        </w:rPr>
        <w:t>Law</w:t>
      </w:r>
      <w:r>
        <w:rPr>
          <w:color w:val="6E6158"/>
          <w:spacing w:val="14"/>
        </w:rPr>
        <w:t> </w:t>
      </w:r>
      <w:r>
        <w:rPr>
          <w:color w:val="6E6158"/>
        </w:rPr>
        <w:t>Journal</w:t>
      </w:r>
      <w:r>
        <w:rPr>
          <w:color w:val="6E6158"/>
          <w:spacing w:val="14"/>
        </w:rPr>
        <w:t> </w:t>
      </w:r>
      <w:r>
        <w:rPr>
          <w:color w:val="6E6158"/>
        </w:rPr>
        <w:t>National</w:t>
      </w:r>
      <w:r>
        <w:rPr>
          <w:color w:val="6E6158"/>
          <w:spacing w:val="14"/>
        </w:rPr>
        <w:t> </w:t>
      </w:r>
      <w:r>
        <w:rPr>
          <w:color w:val="6E6158"/>
        </w:rPr>
        <w:t>Institute</w:t>
      </w:r>
      <w:r>
        <w:rPr>
          <w:color w:val="6E6158"/>
          <w:spacing w:val="14"/>
        </w:rPr>
        <w:t> </w:t>
      </w:r>
      <w:r>
        <w:rPr>
          <w:color w:val="6E6158"/>
        </w:rPr>
        <w:t>Ed.,</w:t>
      </w:r>
      <w:r>
        <w:rPr>
          <w:color w:val="6E6158"/>
          <w:spacing w:val="14"/>
        </w:rPr>
        <w:t> </w:t>
      </w:r>
      <w:r>
        <w:rPr>
          <w:color w:val="6E6158"/>
        </w:rPr>
        <w:t>Co-editor,</w:t>
      </w:r>
      <w:r>
        <w:rPr>
          <w:color w:val="6E6158"/>
          <w:spacing w:val="13"/>
        </w:rPr>
        <w:t> </w:t>
      </w:r>
      <w:r>
        <w:rPr>
          <w:color w:val="6E6158"/>
        </w:rPr>
        <w:t>American</w:t>
      </w:r>
      <w:r>
        <w:rPr>
          <w:color w:val="6E6158"/>
          <w:spacing w:val="14"/>
        </w:rPr>
        <w:t> </w:t>
      </w:r>
      <w:r>
        <w:rPr>
          <w:color w:val="6E6158"/>
        </w:rPr>
        <w:t>Bar</w:t>
      </w:r>
      <w:r>
        <w:rPr>
          <w:color w:val="6E6158"/>
          <w:spacing w:val="14"/>
        </w:rPr>
        <w:t> </w:t>
      </w:r>
      <w:r>
        <w:rPr>
          <w:color w:val="6E6158"/>
        </w:rPr>
        <w:t>Association</w:t>
      </w:r>
      <w:r>
        <w:rPr>
          <w:color w:val="6E6158"/>
          <w:spacing w:val="14"/>
        </w:rPr>
        <w:t> </w:t>
      </w:r>
      <w:r>
        <w:rPr>
          <w:color w:val="6E6158"/>
        </w:rPr>
        <w:t>1981-</w:t>
      </w:r>
      <w:r>
        <w:rPr>
          <w:color w:val="6E6158"/>
          <w:spacing w:val="-4"/>
        </w:rPr>
        <w:t>1984</w:t>
      </w:r>
    </w:p>
    <w:p>
      <w:pPr>
        <w:pStyle w:val="BodyText"/>
        <w:spacing w:line="292" w:lineRule="auto"/>
        <w:ind w:left="99"/>
      </w:pPr>
      <w:r>
        <w:rPr>
          <w:color w:val="6E6158"/>
        </w:rPr>
        <w:t>Antitrust Trade Regulation: Developments Relating to Franchising Sullivan &amp; Rez, ABA </w:t>
      </w:r>
      <w:r>
        <w:rPr>
          <w:color w:val="6E6158"/>
        </w:rPr>
        <w:t>Forum Committee on Franchising 1983</w:t>
      </w:r>
    </w:p>
    <w:p>
      <w:pPr>
        <w:pStyle w:val="BodyText"/>
        <w:spacing w:before="130"/>
        <w:ind w:left="99"/>
      </w:pPr>
      <w:r>
        <w:rPr>
          <w:color w:val="6E6158"/>
        </w:rPr>
        <w:t>Let’s</w:t>
      </w:r>
      <w:r>
        <w:rPr>
          <w:color w:val="6E6158"/>
          <w:spacing w:val="8"/>
        </w:rPr>
        <w:t> </w:t>
      </w:r>
      <w:r>
        <w:rPr>
          <w:color w:val="6E6158"/>
        </w:rPr>
        <w:t>Get</w:t>
      </w:r>
      <w:r>
        <w:rPr>
          <w:color w:val="6E6158"/>
          <w:spacing w:val="9"/>
        </w:rPr>
        <w:t> </w:t>
      </w:r>
      <w:r>
        <w:rPr>
          <w:color w:val="6E6158"/>
        </w:rPr>
        <w:t>Rid</w:t>
      </w:r>
      <w:r>
        <w:rPr>
          <w:color w:val="6E6158"/>
          <w:spacing w:val="9"/>
        </w:rPr>
        <w:t> </w:t>
      </w:r>
      <w:r>
        <w:rPr>
          <w:color w:val="6E6158"/>
        </w:rPr>
        <w:t>of</w:t>
      </w:r>
      <w:r>
        <w:rPr>
          <w:color w:val="6E6158"/>
          <w:spacing w:val="9"/>
        </w:rPr>
        <w:t> </w:t>
      </w:r>
      <w:r>
        <w:rPr>
          <w:color w:val="6E6158"/>
        </w:rPr>
        <w:t>Big</w:t>
      </w:r>
      <w:r>
        <w:rPr>
          <w:color w:val="6E6158"/>
          <w:spacing w:val="8"/>
        </w:rPr>
        <w:t> </w:t>
      </w:r>
      <w:r>
        <w:rPr>
          <w:color w:val="6E6158"/>
        </w:rPr>
        <w:t>Cases</w:t>
      </w:r>
      <w:r>
        <w:rPr>
          <w:color w:val="6E6158"/>
          <w:spacing w:val="9"/>
        </w:rPr>
        <w:t> </w:t>
      </w:r>
      <w:r>
        <w:rPr>
          <w:color w:val="6E6158"/>
        </w:rPr>
        <w:t>Sullivan</w:t>
      </w:r>
      <w:r>
        <w:rPr>
          <w:color w:val="6E6158"/>
          <w:spacing w:val="9"/>
        </w:rPr>
        <w:t> </w:t>
      </w:r>
      <w:r>
        <w:rPr>
          <w:color w:val="6E6158"/>
        </w:rPr>
        <w:t>&amp;</w:t>
      </w:r>
      <w:r>
        <w:rPr>
          <w:color w:val="6E6158"/>
          <w:spacing w:val="9"/>
        </w:rPr>
        <w:t> </w:t>
      </w:r>
      <w:r>
        <w:rPr>
          <w:color w:val="6E6158"/>
        </w:rPr>
        <w:t>Rez,</w:t>
      </w:r>
      <w:r>
        <w:rPr>
          <w:color w:val="6E6158"/>
          <w:spacing w:val="8"/>
        </w:rPr>
        <w:t> </w:t>
      </w:r>
      <w:r>
        <w:rPr>
          <w:color w:val="6E6158"/>
        </w:rPr>
        <w:t>7</w:t>
      </w:r>
      <w:r>
        <w:rPr>
          <w:color w:val="6E6158"/>
          <w:spacing w:val="9"/>
        </w:rPr>
        <w:t> </w:t>
      </w:r>
      <w:r>
        <w:rPr>
          <w:color w:val="6E6158"/>
        </w:rPr>
        <w:t>Litigation</w:t>
      </w:r>
      <w:r>
        <w:rPr>
          <w:color w:val="6E6158"/>
          <w:spacing w:val="9"/>
        </w:rPr>
        <w:t> </w:t>
      </w:r>
      <w:r>
        <w:rPr>
          <w:color w:val="6E6158"/>
        </w:rPr>
        <w:t>Nos.</w:t>
      </w:r>
      <w:r>
        <w:rPr>
          <w:color w:val="6E6158"/>
          <w:spacing w:val="9"/>
        </w:rPr>
        <w:t> </w:t>
      </w:r>
      <w:r>
        <w:rPr>
          <w:color w:val="6E6158"/>
        </w:rPr>
        <w:t>4,</w:t>
      </w:r>
      <w:r>
        <w:rPr>
          <w:color w:val="6E6158"/>
          <w:spacing w:val="9"/>
        </w:rPr>
        <w:t> </w:t>
      </w:r>
      <w:r>
        <w:rPr>
          <w:color w:val="6E6158"/>
        </w:rPr>
        <w:t>p.8,</w:t>
      </w:r>
      <w:r>
        <w:rPr>
          <w:color w:val="6E6158"/>
          <w:spacing w:val="8"/>
        </w:rPr>
        <w:t> </w:t>
      </w:r>
      <w:r>
        <w:rPr>
          <w:color w:val="6E6158"/>
        </w:rPr>
        <w:t>Summer</w:t>
      </w:r>
      <w:r>
        <w:rPr>
          <w:color w:val="6E6158"/>
          <w:spacing w:val="9"/>
        </w:rPr>
        <w:t> </w:t>
      </w:r>
      <w:r>
        <w:rPr>
          <w:color w:val="6E6158"/>
          <w:spacing w:val="-4"/>
        </w:rPr>
        <w:t>1981</w:t>
      </w:r>
    </w:p>
    <w:p>
      <w:pPr>
        <w:pStyle w:val="BodyText"/>
        <w:spacing w:after="0"/>
        <w:sectPr>
          <w:pgSz w:w="12240" w:h="15840"/>
          <w:pgMar w:top="500" w:bottom="280" w:left="1440" w:right="1440"/>
        </w:sectPr>
      </w:pPr>
    </w:p>
    <w:p>
      <w:pPr>
        <w:pStyle w:val="BodyText"/>
        <w:spacing w:line="292" w:lineRule="auto" w:before="83"/>
        <w:ind w:left="99" w:right="514"/>
      </w:pPr>
      <w:r>
        <w:rPr>
          <w:color w:val="6E6158"/>
        </w:rPr>
        <w:t>Antitrust Discovery Handbook and Supplement (Fraudulent Concealment and </w:t>
      </w:r>
      <w:r>
        <w:rPr>
          <w:color w:val="6E6158"/>
        </w:rPr>
        <w:t>Sanctions) Contributor, ABA Antitrust Section (1980)</w:t>
      </w:r>
    </w:p>
    <w:p>
      <w:pPr>
        <w:pStyle w:val="BodyText"/>
        <w:spacing w:line="292" w:lineRule="auto" w:before="132"/>
        <w:ind w:left="99" w:right="180"/>
      </w:pPr>
      <w:r>
        <w:rPr>
          <w:color w:val="6E6158"/>
        </w:rPr>
        <w:t>Causation</w:t>
      </w:r>
      <w:r>
        <w:rPr>
          <w:color w:val="6E6158"/>
          <w:spacing w:val="17"/>
        </w:rPr>
        <w:t> </w:t>
      </w:r>
      <w:r>
        <w:rPr>
          <w:color w:val="6E6158"/>
        </w:rPr>
        <w:t>and</w:t>
      </w:r>
      <w:r>
        <w:rPr>
          <w:color w:val="6E6158"/>
          <w:spacing w:val="17"/>
        </w:rPr>
        <w:t> </w:t>
      </w:r>
      <w:r>
        <w:rPr>
          <w:color w:val="6E6158"/>
        </w:rPr>
        <w:t>Automatic</w:t>
      </w:r>
      <w:r>
        <w:rPr>
          <w:color w:val="6E6158"/>
          <w:spacing w:val="17"/>
        </w:rPr>
        <w:t> </w:t>
      </w:r>
      <w:r>
        <w:rPr>
          <w:color w:val="6E6158"/>
        </w:rPr>
        <w:t>Damages</w:t>
      </w:r>
      <w:r>
        <w:rPr>
          <w:color w:val="6E6158"/>
          <w:spacing w:val="17"/>
        </w:rPr>
        <w:t> </w:t>
      </w:r>
      <w:r>
        <w:rPr>
          <w:color w:val="6E6158"/>
        </w:rPr>
        <w:t>in</w:t>
      </w:r>
      <w:r>
        <w:rPr>
          <w:color w:val="6E6158"/>
          <w:spacing w:val="17"/>
        </w:rPr>
        <w:t> </w:t>
      </w:r>
      <w:r>
        <w:rPr>
          <w:color w:val="6E6158"/>
        </w:rPr>
        <w:t>Secondary-Line</w:t>
      </w:r>
      <w:r>
        <w:rPr>
          <w:color w:val="6E6158"/>
          <w:spacing w:val="17"/>
        </w:rPr>
        <w:t> </w:t>
      </w:r>
      <w:r>
        <w:rPr>
          <w:color w:val="6E6158"/>
        </w:rPr>
        <w:t>Cases</w:t>
      </w:r>
      <w:r>
        <w:rPr>
          <w:color w:val="6E6158"/>
          <w:spacing w:val="17"/>
        </w:rPr>
        <w:t> </w:t>
      </w:r>
      <w:r>
        <w:rPr>
          <w:color w:val="6E6158"/>
        </w:rPr>
        <w:t>Under</w:t>
      </w:r>
      <w:r>
        <w:rPr>
          <w:color w:val="6E6158"/>
          <w:spacing w:val="17"/>
        </w:rPr>
        <w:t> </w:t>
      </w:r>
      <w:r>
        <w:rPr>
          <w:color w:val="6E6158"/>
        </w:rPr>
        <w:t>Section</w:t>
      </w:r>
      <w:r>
        <w:rPr>
          <w:color w:val="6E6158"/>
          <w:spacing w:val="17"/>
        </w:rPr>
        <w:t> </w:t>
      </w:r>
      <w:r>
        <w:rPr>
          <w:color w:val="6E6158"/>
        </w:rPr>
        <w:t>2a</w:t>
      </w:r>
      <w:r>
        <w:rPr>
          <w:color w:val="6E6158"/>
          <w:spacing w:val="17"/>
        </w:rPr>
        <w:t> </w:t>
      </w:r>
      <w:r>
        <w:rPr>
          <w:color w:val="6E6158"/>
        </w:rPr>
        <w:t>of</w:t>
      </w:r>
      <w:r>
        <w:rPr>
          <w:color w:val="6E6158"/>
          <w:spacing w:val="17"/>
        </w:rPr>
        <w:t> </w:t>
      </w:r>
      <w:r>
        <w:rPr>
          <w:color w:val="6E6158"/>
        </w:rPr>
        <w:t>the</w:t>
      </w:r>
      <w:r>
        <w:rPr>
          <w:color w:val="6E6158"/>
          <w:spacing w:val="17"/>
        </w:rPr>
        <w:t> </w:t>
      </w:r>
      <w:r>
        <w:rPr>
          <w:color w:val="6E6158"/>
        </w:rPr>
        <w:t>Robinson-Patman Act: Is Fowler v. Gorlich Dead?, 55 Notre Dame Lawyer 660 1980</w:t>
      </w:r>
    </w:p>
    <w:p>
      <w:pPr>
        <w:pStyle w:val="BodyText"/>
        <w:spacing w:before="123"/>
        <w:ind w:left="99"/>
      </w:pPr>
      <w:r>
        <w:rPr>
          <w:color w:val="6E6158"/>
        </w:rPr>
        <w:t>Lecturer,</w:t>
      </w:r>
      <w:r>
        <w:rPr>
          <w:color w:val="6E6158"/>
          <w:spacing w:val="11"/>
        </w:rPr>
        <w:t> </w:t>
      </w:r>
      <w:r>
        <w:rPr>
          <w:color w:val="6E6158"/>
        </w:rPr>
        <w:t>Practicum,</w:t>
      </w:r>
      <w:r>
        <w:rPr>
          <w:color w:val="6E6158"/>
          <w:spacing w:val="11"/>
        </w:rPr>
        <w:t> </w:t>
      </w:r>
      <w:r>
        <w:rPr>
          <w:color w:val="6E6158"/>
        </w:rPr>
        <w:t>Federal</w:t>
      </w:r>
      <w:r>
        <w:rPr>
          <w:color w:val="6E6158"/>
          <w:spacing w:val="12"/>
        </w:rPr>
        <w:t> </w:t>
      </w:r>
      <w:r>
        <w:rPr>
          <w:color w:val="6E6158"/>
        </w:rPr>
        <w:t>Practice</w:t>
      </w:r>
      <w:r>
        <w:rPr>
          <w:color w:val="6E6158"/>
          <w:spacing w:val="11"/>
        </w:rPr>
        <w:t> </w:t>
      </w:r>
      <w:r>
        <w:rPr>
          <w:color w:val="6E6158"/>
        </w:rPr>
        <w:t>Institute,</w:t>
      </w:r>
      <w:r>
        <w:rPr>
          <w:color w:val="6E6158"/>
          <w:spacing w:val="12"/>
        </w:rPr>
        <w:t> </w:t>
      </w:r>
      <w:r>
        <w:rPr>
          <w:color w:val="6E6158"/>
        </w:rPr>
        <w:t>California</w:t>
      </w:r>
      <w:r>
        <w:rPr>
          <w:color w:val="6E6158"/>
          <w:spacing w:val="11"/>
        </w:rPr>
        <w:t> </w:t>
      </w:r>
      <w:r>
        <w:rPr>
          <w:color w:val="6E6158"/>
        </w:rPr>
        <w:t>Continuing</w:t>
      </w:r>
      <w:r>
        <w:rPr>
          <w:color w:val="6E6158"/>
          <w:spacing w:val="12"/>
        </w:rPr>
        <w:t> </w:t>
      </w:r>
      <w:r>
        <w:rPr>
          <w:color w:val="6E6158"/>
        </w:rPr>
        <w:t>Education</w:t>
      </w:r>
      <w:r>
        <w:rPr>
          <w:color w:val="6E6158"/>
          <w:spacing w:val="11"/>
        </w:rPr>
        <w:t> </w:t>
      </w:r>
      <w:r>
        <w:rPr>
          <w:color w:val="6E6158"/>
        </w:rPr>
        <w:t>of</w:t>
      </w:r>
      <w:r>
        <w:rPr>
          <w:color w:val="6E6158"/>
          <w:spacing w:val="12"/>
        </w:rPr>
        <w:t> </w:t>
      </w:r>
      <w:r>
        <w:rPr>
          <w:color w:val="6E6158"/>
        </w:rPr>
        <w:t>the</w:t>
      </w:r>
      <w:r>
        <w:rPr>
          <w:color w:val="6E6158"/>
          <w:spacing w:val="11"/>
        </w:rPr>
        <w:t> </w:t>
      </w:r>
      <w:r>
        <w:rPr>
          <w:color w:val="6E6158"/>
        </w:rPr>
        <w:t>Bar,</w:t>
      </w:r>
      <w:r>
        <w:rPr>
          <w:color w:val="6E6158"/>
          <w:spacing w:val="11"/>
        </w:rPr>
        <w:t> </w:t>
      </w:r>
      <w:r>
        <w:rPr>
          <w:color w:val="6E6158"/>
          <w:spacing w:val="-4"/>
        </w:rPr>
        <w:t>1979</w:t>
      </w:r>
    </w:p>
    <w:p>
      <w:pPr>
        <w:pStyle w:val="BodyText"/>
        <w:spacing w:before="163"/>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rPr>
          <w:b/>
        </w:rPr>
      </w:pPr>
    </w:p>
    <w:p>
      <w:pPr>
        <w:pStyle w:val="BodyText"/>
        <w:spacing w:line="427" w:lineRule="auto" w:before="1"/>
        <w:ind w:left="99" w:right="2599"/>
      </w:pPr>
      <w:r>
        <w:rPr>
          <w:color w:val="6E6158"/>
        </w:rPr>
        <w:t>Member, San Diego County Bar Association, Civil Litigation </w:t>
      </w:r>
      <w:r>
        <w:rPr>
          <w:color w:val="6E6158"/>
        </w:rPr>
        <w:t>Section Editor, Harvard Environmental Law Review</w:t>
      </w:r>
    </w:p>
    <w:p>
      <w:pPr>
        <w:pStyle w:val="BodyText"/>
        <w:spacing w:line="292" w:lineRule="auto"/>
        <w:ind w:left="99"/>
      </w:pPr>
      <w:r>
        <w:rPr>
          <w:color w:val="6E6158"/>
        </w:rPr>
        <w:t>U.S. District Court for the Southern District of California Lawyer Representatives to the Ninth Circuit</w:t>
      </w:r>
      <w:r>
        <w:rPr>
          <w:color w:val="6E6158"/>
          <w:spacing w:val="40"/>
        </w:rPr>
        <w:t> </w:t>
      </w:r>
      <w:r>
        <w:rPr>
          <w:color w:val="6E6158"/>
        </w:rPr>
        <w:t>Judicial Conference</w:t>
      </w:r>
    </w:p>
    <w:p>
      <w:pPr>
        <w:pStyle w:val="BodyText"/>
        <w:spacing w:line="427" w:lineRule="auto" w:before="115"/>
        <w:ind w:left="99" w:right="2599"/>
      </w:pPr>
      <w:r>
        <w:rPr>
          <w:color w:val="6E6158"/>
        </w:rPr>
        <w:t>Executive Committee, Harvard Law School Association of San </w:t>
      </w:r>
      <w:r>
        <w:rPr>
          <w:color w:val="6E6158"/>
        </w:rPr>
        <w:t>Diego. Board of Visitors, University of San Diego School of Law</w:t>
      </w:r>
    </w:p>
    <w:p>
      <w:pPr>
        <w:pStyle w:val="BodyText"/>
        <w:spacing w:line="420" w:lineRule="auto"/>
        <w:ind w:left="99" w:right="3609"/>
      </w:pPr>
      <w:r>
        <w:rPr>
          <w:color w:val="6E6158"/>
        </w:rPr>
        <w:t>Board of Trustees, John Paul the Great Catholic </w:t>
      </w:r>
      <w:r>
        <w:rPr>
          <w:color w:val="6E6158"/>
        </w:rPr>
        <w:t>University. Past president, Thomas More Society of San Diego</w:t>
      </w:r>
    </w:p>
    <w:p>
      <w:pPr>
        <w:pStyle w:val="BodyText"/>
        <w:ind w:left="99"/>
      </w:pPr>
      <w:r>
        <w:rPr>
          <w:color w:val="6E6158"/>
        </w:rPr>
        <w:t>Knight</w:t>
      </w:r>
      <w:r>
        <w:rPr>
          <w:color w:val="6E6158"/>
          <w:spacing w:val="9"/>
        </w:rPr>
        <w:t> </w:t>
      </w:r>
      <w:r>
        <w:rPr>
          <w:color w:val="6E6158"/>
        </w:rPr>
        <w:t>of</w:t>
      </w:r>
      <w:r>
        <w:rPr>
          <w:color w:val="6E6158"/>
          <w:spacing w:val="10"/>
        </w:rPr>
        <w:t> </w:t>
      </w:r>
      <w:r>
        <w:rPr>
          <w:color w:val="6E6158"/>
        </w:rPr>
        <w:t>the</w:t>
      </w:r>
      <w:r>
        <w:rPr>
          <w:color w:val="6E6158"/>
          <w:spacing w:val="10"/>
        </w:rPr>
        <w:t> </w:t>
      </w:r>
      <w:r>
        <w:rPr>
          <w:color w:val="6E6158"/>
        </w:rPr>
        <w:t>Equestrian</w:t>
      </w:r>
      <w:r>
        <w:rPr>
          <w:color w:val="6E6158"/>
          <w:spacing w:val="10"/>
        </w:rPr>
        <w:t> </w:t>
      </w:r>
      <w:r>
        <w:rPr>
          <w:color w:val="6E6158"/>
        </w:rPr>
        <w:t>Order</w:t>
      </w:r>
      <w:r>
        <w:rPr>
          <w:color w:val="6E6158"/>
          <w:spacing w:val="9"/>
        </w:rPr>
        <w:t> </w:t>
      </w:r>
      <w:r>
        <w:rPr>
          <w:color w:val="6E6158"/>
        </w:rPr>
        <w:t>of</w:t>
      </w:r>
      <w:r>
        <w:rPr>
          <w:color w:val="6E6158"/>
          <w:spacing w:val="10"/>
        </w:rPr>
        <w:t> </w:t>
      </w:r>
      <w:r>
        <w:rPr>
          <w:color w:val="6E6158"/>
        </w:rPr>
        <w:t>the</w:t>
      </w:r>
      <w:r>
        <w:rPr>
          <w:color w:val="6E6158"/>
          <w:spacing w:val="10"/>
        </w:rPr>
        <w:t> </w:t>
      </w:r>
      <w:r>
        <w:rPr>
          <w:color w:val="6E6158"/>
        </w:rPr>
        <w:t>Holy</w:t>
      </w:r>
      <w:r>
        <w:rPr>
          <w:color w:val="6E6158"/>
          <w:spacing w:val="10"/>
        </w:rPr>
        <w:t> </w:t>
      </w:r>
      <w:r>
        <w:rPr>
          <w:color w:val="6E6158"/>
        </w:rPr>
        <w:t>Sepulchre</w:t>
      </w:r>
      <w:r>
        <w:rPr>
          <w:color w:val="6E6158"/>
          <w:spacing w:val="9"/>
        </w:rPr>
        <w:t> </w:t>
      </w:r>
      <w:r>
        <w:rPr>
          <w:color w:val="6E6158"/>
        </w:rPr>
        <w:t>of</w:t>
      </w:r>
      <w:r>
        <w:rPr>
          <w:color w:val="6E6158"/>
          <w:spacing w:val="10"/>
        </w:rPr>
        <w:t> </w:t>
      </w:r>
      <w:r>
        <w:rPr>
          <w:color w:val="6E6158"/>
          <w:spacing w:val="-2"/>
        </w:rPr>
        <w:t>Jerusalem</w:t>
      </w:r>
    </w:p>
    <w:p>
      <w:pPr>
        <w:pStyle w:val="BodyText"/>
        <w:spacing w:line="420" w:lineRule="auto" w:before="173"/>
        <w:ind w:left="99" w:right="1405"/>
      </w:pPr>
      <w:r>
        <w:rPr>
          <w:color w:val="6E6158"/>
        </w:rPr>
        <w:t>Co-chair, 2015 Annual Meeting for the Western Lieutenancy in San </w:t>
      </w:r>
      <w:r>
        <w:rPr>
          <w:color w:val="6E6158"/>
        </w:rPr>
        <w:t>Diego Coordinator, Mercy for the EOHSJ in San Diego</w:t>
      </w:r>
    </w:p>
    <w:p>
      <w:pPr>
        <w:pStyle w:val="BodyText"/>
        <w:spacing w:line="427" w:lineRule="auto"/>
        <w:ind w:left="99" w:right="514"/>
      </w:pPr>
      <w:r>
        <w:rPr>
          <w:color w:val="6E6158"/>
        </w:rPr>
        <w:t>Member, Parish and Finance Councils at Our Lady of Refuge Roman Catholic </w:t>
      </w:r>
      <w:r>
        <w:rPr>
          <w:color w:val="6E6158"/>
        </w:rPr>
        <w:t>Church Diocesian Pastoral Council for the Diocese of San Diego, 2002-2004</w:t>
      </w:r>
    </w:p>
    <w:p>
      <w:pPr>
        <w:pStyle w:val="BodyText"/>
        <w:spacing w:line="226" w:lineRule="exact"/>
        <w:ind w:left="99"/>
      </w:pPr>
      <w:r>
        <w:rPr>
          <w:color w:val="6E6158"/>
        </w:rPr>
        <w:t>Board</w:t>
      </w:r>
      <w:r>
        <w:rPr>
          <w:color w:val="6E6158"/>
          <w:spacing w:val="10"/>
        </w:rPr>
        <w:t> </w:t>
      </w:r>
      <w:r>
        <w:rPr>
          <w:color w:val="6E6158"/>
        </w:rPr>
        <w:t>of</w:t>
      </w:r>
      <w:r>
        <w:rPr>
          <w:color w:val="6E6158"/>
          <w:spacing w:val="10"/>
        </w:rPr>
        <w:t> </w:t>
      </w:r>
      <w:r>
        <w:rPr>
          <w:color w:val="6E6158"/>
        </w:rPr>
        <w:t>directors</w:t>
      </w:r>
      <w:r>
        <w:rPr>
          <w:color w:val="6E6158"/>
          <w:spacing w:val="11"/>
        </w:rPr>
        <w:t> </w:t>
      </w:r>
      <w:r>
        <w:rPr>
          <w:color w:val="6E6158"/>
        </w:rPr>
        <w:t>of</w:t>
      </w:r>
      <w:r>
        <w:rPr>
          <w:color w:val="6E6158"/>
          <w:spacing w:val="10"/>
        </w:rPr>
        <w:t> </w:t>
      </w:r>
      <w:r>
        <w:rPr>
          <w:color w:val="6E6158"/>
        </w:rPr>
        <w:t>Catholic</w:t>
      </w:r>
      <w:r>
        <w:rPr>
          <w:color w:val="6E6158"/>
          <w:spacing w:val="10"/>
        </w:rPr>
        <w:t> </w:t>
      </w:r>
      <w:r>
        <w:rPr>
          <w:color w:val="6E6158"/>
          <w:spacing w:val="-2"/>
        </w:rPr>
        <w:t>Exchange</w:t>
      </w:r>
    </w:p>
    <w:p>
      <w:pPr>
        <w:pStyle w:val="BodyText"/>
        <w:spacing w:before="173"/>
        <w:ind w:left="99"/>
      </w:pPr>
      <w:r>
        <w:rPr>
          <w:color w:val="6E6158"/>
        </w:rPr>
        <w:t>Past</w:t>
      </w:r>
      <w:r>
        <w:rPr>
          <w:color w:val="6E6158"/>
          <w:spacing w:val="13"/>
        </w:rPr>
        <w:t> </w:t>
      </w:r>
      <w:r>
        <w:rPr>
          <w:color w:val="6E6158"/>
        </w:rPr>
        <w:t>president,</w:t>
      </w:r>
      <w:r>
        <w:rPr>
          <w:color w:val="6E6158"/>
          <w:spacing w:val="13"/>
        </w:rPr>
        <w:t> </w:t>
      </w:r>
      <w:r>
        <w:rPr>
          <w:color w:val="6E6158"/>
        </w:rPr>
        <w:t>San</w:t>
      </w:r>
      <w:r>
        <w:rPr>
          <w:color w:val="6E6158"/>
          <w:spacing w:val="14"/>
        </w:rPr>
        <w:t> </w:t>
      </w:r>
      <w:r>
        <w:rPr>
          <w:color w:val="6E6158"/>
        </w:rPr>
        <w:t>Diego</w:t>
      </w:r>
      <w:r>
        <w:rPr>
          <w:color w:val="6E6158"/>
          <w:spacing w:val="13"/>
        </w:rPr>
        <w:t> </w:t>
      </w:r>
      <w:r>
        <w:rPr>
          <w:color w:val="6E6158"/>
        </w:rPr>
        <w:t>Chapter</w:t>
      </w:r>
      <w:r>
        <w:rPr>
          <w:color w:val="6E6158"/>
          <w:spacing w:val="14"/>
        </w:rPr>
        <w:t> </w:t>
      </w:r>
      <w:r>
        <w:rPr>
          <w:color w:val="6E6158"/>
        </w:rPr>
        <w:t>of</w:t>
      </w:r>
      <w:r>
        <w:rPr>
          <w:color w:val="6E6158"/>
          <w:spacing w:val="13"/>
        </w:rPr>
        <w:t> </w:t>
      </w:r>
      <w:r>
        <w:rPr>
          <w:color w:val="6E6158"/>
        </w:rPr>
        <w:t>Legatus,</w:t>
      </w:r>
      <w:r>
        <w:rPr>
          <w:color w:val="6E6158"/>
          <w:spacing w:val="14"/>
        </w:rPr>
        <w:t> </w:t>
      </w:r>
      <w:r>
        <w:rPr>
          <w:color w:val="6E6158"/>
        </w:rPr>
        <w:t>2012-</w:t>
      </w:r>
      <w:r>
        <w:rPr>
          <w:color w:val="6E6158"/>
          <w:spacing w:val="-4"/>
        </w:rPr>
        <w:t>2014</w:t>
      </w:r>
    </w:p>
    <w:p>
      <w:pPr>
        <w:pStyle w:val="BodyText"/>
        <w:spacing w:line="427" w:lineRule="auto" w:before="174"/>
        <w:ind w:left="99" w:right="2599"/>
      </w:pPr>
      <w:r>
        <w:rPr>
          <w:color w:val="6E6158"/>
        </w:rPr>
        <w:t>Co-chair, Friends of the Poor-Nigeria Fundraiser for Bishops </w:t>
      </w:r>
      <w:r>
        <w:rPr>
          <w:color w:val="6E6158"/>
        </w:rPr>
        <w:t>Anthony Adaju and Martin Uzoukwu in August 2015</w:t>
      </w:r>
    </w:p>
    <w:p>
      <w:pPr>
        <w:pStyle w:val="BodyText"/>
        <w:spacing w:line="226" w:lineRule="exact"/>
        <w:ind w:left="99"/>
      </w:pPr>
      <w:r>
        <w:rPr>
          <w:color w:val="6E6158"/>
        </w:rPr>
        <w:t>Communion</w:t>
      </w:r>
      <w:r>
        <w:rPr>
          <w:color w:val="6E6158"/>
          <w:spacing w:val="14"/>
        </w:rPr>
        <w:t> </w:t>
      </w:r>
      <w:r>
        <w:rPr>
          <w:color w:val="6E6158"/>
        </w:rPr>
        <w:t>service,</w:t>
      </w:r>
      <w:r>
        <w:rPr>
          <w:color w:val="6E6158"/>
          <w:spacing w:val="15"/>
        </w:rPr>
        <w:t> </w:t>
      </w:r>
      <w:r>
        <w:rPr>
          <w:color w:val="6E6158"/>
        </w:rPr>
        <w:t>Wesley</w:t>
      </w:r>
      <w:r>
        <w:rPr>
          <w:color w:val="6E6158"/>
          <w:spacing w:val="15"/>
        </w:rPr>
        <w:t> </w:t>
      </w:r>
      <w:r>
        <w:rPr>
          <w:color w:val="6E6158"/>
        </w:rPr>
        <w:t>Palms</w:t>
      </w:r>
      <w:r>
        <w:rPr>
          <w:color w:val="6E6158"/>
          <w:spacing w:val="15"/>
        </w:rPr>
        <w:t> </w:t>
      </w:r>
      <w:r>
        <w:rPr>
          <w:color w:val="6E6158"/>
        </w:rPr>
        <w:t>Retirement</w:t>
      </w:r>
      <w:r>
        <w:rPr>
          <w:color w:val="6E6158"/>
          <w:spacing w:val="15"/>
        </w:rPr>
        <w:t> </w:t>
      </w:r>
      <w:r>
        <w:rPr>
          <w:color w:val="6E6158"/>
          <w:spacing w:val="-4"/>
        </w:rPr>
        <w:t>Home</w:t>
      </w:r>
    </w:p>
    <w:p>
      <w:pPr>
        <w:pStyle w:val="BodyText"/>
        <w:spacing w:before="163"/>
        <w:rPr>
          <w:sz w:val="24"/>
        </w:rPr>
      </w:pPr>
    </w:p>
    <w:p>
      <w:pPr>
        <w:pStyle w:val="Heading1"/>
      </w:pPr>
      <w:r>
        <w:rPr>
          <w:color w:val="FF8100"/>
          <w:spacing w:val="-2"/>
        </w:rPr>
        <w:t>ADMISSIONS</w:t>
      </w:r>
    </w:p>
    <w:p>
      <w:pPr>
        <w:pStyle w:val="BodyText"/>
        <w:spacing w:before="27"/>
        <w:rPr>
          <w:b/>
        </w:rPr>
      </w:pPr>
    </w:p>
    <w:p>
      <w:pPr>
        <w:pStyle w:val="BodyText"/>
        <w:ind w:left="99"/>
      </w:pP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san-diego/" TargetMode="External"/><Relationship Id="rId10" Type="http://schemas.openxmlformats.org/officeDocument/2006/relationships/hyperlink" Target="mailto:drez@fennemorelaw.com" TargetMode="External"/><Relationship Id="rId11" Type="http://schemas.openxmlformats.org/officeDocument/2006/relationships/hyperlink" Target="https://jamespublishing.com/" TargetMode="External"/><Relationship Id="rId12" Type="http://schemas.openxmlformats.org/officeDocument/2006/relationships/hyperlink" Target="https://protect-us.mimecast.com/s/fOjxCR68kKuRjKBJc9_0oN?domain=sullivan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Donald G. Rez - Fennemore</dc:title>
  <dcterms:created xsi:type="dcterms:W3CDTF">2026-06-12T09:56:25Z</dcterms:created>
  <dcterms:modified xsi:type="dcterms:W3CDTF">2026-06-12T09:56:25Z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