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las Splet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83926" y="763308"/>
                            <a:ext cx="15525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SPLETTER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25444" y="2293650"/>
                            <a:ext cx="1212215" cy="436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669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82320" y="2763876"/>
                            <a:ext cx="1955800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707.432.4407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  <w:p>
                              <w:pPr>
                                <w:spacing w:before="127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dspletter@fennemorelaw.com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Douglas Spletter bio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5;top:-4635;width:2445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SPLETTER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2477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707.432.4407</w:t>
                        </w:r>
                      </w:p>
                    </w:txbxContent>
                  </v:textbox>
                  <w10:wrap type="none"/>
                </v:shape>
                <v:shape style="position:absolute;left:8147;top:-2225;width:1909;height:688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669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3080;height:534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840" w:val="left" w:leader="none"/>
                          </w:tabs>
                          <w:spacing w:before="1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707.432.4407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  <w:p>
                        <w:pPr>
                          <w:spacing w:before="127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dspletter@fennemorelaw.com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C.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SPLETTER</w:t>
      </w:r>
    </w:p>
    <w:p>
      <w:pPr>
        <w:pStyle w:val="BodyText"/>
        <w:spacing w:before="147"/>
        <w:ind w:left="99"/>
      </w:pPr>
      <w:r>
        <w:rPr>
          <w:color w:val="6E6158"/>
        </w:rPr>
        <w:t>Douglas</w:t>
      </w:r>
      <w:r>
        <w:rPr>
          <w:color w:val="6E6158"/>
          <w:spacing w:val="12"/>
        </w:rPr>
        <w:t> </w:t>
      </w:r>
      <w:r>
        <w:rPr>
          <w:color w:val="6E6158"/>
        </w:rPr>
        <w:t>C.</w:t>
      </w:r>
      <w:r>
        <w:rPr>
          <w:color w:val="6E6158"/>
          <w:spacing w:val="12"/>
        </w:rPr>
        <w:t> </w:t>
      </w:r>
      <w:r>
        <w:rPr>
          <w:color w:val="6E6158"/>
        </w:rPr>
        <w:t>Spletter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trusts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estates</w:t>
      </w:r>
      <w:r>
        <w:rPr>
          <w:color w:val="6E6158"/>
          <w:spacing w:val="12"/>
        </w:rPr>
        <w:t> </w:t>
      </w:r>
      <w:r>
        <w:rPr>
          <w:color w:val="6E6158"/>
        </w:rPr>
        <w:t>practice,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advising</w:t>
      </w:r>
    </w:p>
    <w:p>
      <w:pPr>
        <w:pStyle w:val="BodyText"/>
        <w:spacing w:line="297" w:lineRule="auto" w:before="52"/>
        <w:ind w:left="99"/>
      </w:pPr>
      <w:r>
        <w:rPr>
          <w:color w:val="6E6158"/>
        </w:rPr>
        <w:t>individuals, families, and business owners across California on estate planning, probate, and </w:t>
      </w:r>
      <w:r>
        <w:rPr>
          <w:color w:val="6E6158"/>
        </w:rPr>
        <w:t>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  <w:r>
        <w:rPr>
          <w:color w:val="6E6158"/>
          <w:spacing w:val="35"/>
        </w:rPr>
        <w:t> </w:t>
      </w:r>
      <w:r>
        <w:rPr>
          <w:color w:val="6E6158"/>
        </w:rPr>
        <w:t>Based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California,</w:t>
      </w:r>
      <w:r>
        <w:rPr>
          <w:color w:val="6E6158"/>
          <w:spacing w:val="35"/>
        </w:rPr>
        <w:t> </w:t>
      </w:r>
      <w:r>
        <w:rPr>
          <w:color w:val="6E6158"/>
        </w:rPr>
        <w:t>he</w:t>
      </w:r>
      <w:r>
        <w:rPr>
          <w:color w:val="6E6158"/>
          <w:spacing w:val="35"/>
        </w:rPr>
        <w:t> </w:t>
      </w:r>
      <w:r>
        <w:rPr>
          <w:color w:val="6E6158"/>
        </w:rPr>
        <w:t>provides</w:t>
      </w:r>
      <w:r>
        <w:rPr>
          <w:color w:val="6E6158"/>
          <w:spacing w:val="35"/>
        </w:rPr>
        <w:t> </w:t>
      </w:r>
      <w:r>
        <w:rPr>
          <w:color w:val="6E6158"/>
        </w:rPr>
        <w:t>guidance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protecting</w:t>
      </w:r>
      <w:r>
        <w:rPr>
          <w:color w:val="6E6158"/>
          <w:spacing w:val="35"/>
        </w:rPr>
        <w:t> </w:t>
      </w:r>
      <w:r>
        <w:rPr>
          <w:color w:val="6E6158"/>
        </w:rPr>
        <w:t>assets,</w:t>
      </w:r>
      <w:r>
        <w:rPr>
          <w:color w:val="6E6158"/>
          <w:spacing w:val="35"/>
        </w:rPr>
        <w:t> </w:t>
      </w:r>
      <w:r>
        <w:rPr>
          <w:color w:val="6E6158"/>
        </w:rPr>
        <w:t>planning</w:t>
      </w:r>
      <w:r>
        <w:rPr>
          <w:color w:val="6E6158"/>
          <w:spacing w:val="35"/>
        </w:rPr>
        <w:t> </w:t>
      </w:r>
      <w:r>
        <w:rPr>
          <w:color w:val="6E6158"/>
        </w:rPr>
        <w:t>for wealth</w:t>
      </w:r>
      <w:r>
        <w:rPr>
          <w:color w:val="6E6158"/>
          <w:spacing w:val="28"/>
        </w:rPr>
        <w:t> </w:t>
      </w:r>
      <w:r>
        <w:rPr>
          <w:color w:val="6E6158"/>
        </w:rPr>
        <w:t>transfer,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navigating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legal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considerations</w:t>
      </w:r>
      <w:r>
        <w:rPr>
          <w:color w:val="6E6158"/>
          <w:spacing w:val="28"/>
        </w:rPr>
        <w:t> </w:t>
      </w:r>
      <w:r>
        <w:rPr>
          <w:color w:val="6E6158"/>
        </w:rPr>
        <w:t>involved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</w:p>
    <w:p>
      <w:pPr>
        <w:pStyle w:val="BodyText"/>
        <w:spacing w:line="229" w:lineRule="exact"/>
        <w:ind w:left="99"/>
      </w:pPr>
      <w:r>
        <w:rPr>
          <w:color w:val="6E6158"/>
          <w:spacing w:val="-2"/>
        </w:rPr>
        <w:t>matters.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/>
      </w:pPr>
      <w:r>
        <w:rPr>
          <w:color w:val="6E6158"/>
        </w:rPr>
        <w:t>He is a Certified Specialist in Estate Planning, Probate and Trust Law by the State Bar of California</w:t>
      </w:r>
      <w:r>
        <w:rPr>
          <w:color w:val="6E6158"/>
          <w:spacing w:val="40"/>
        </w:rPr>
        <w:t> </w:t>
      </w:r>
      <w:r>
        <w:rPr>
          <w:color w:val="6E6158"/>
        </w:rPr>
        <w:t>Board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Legal</w:t>
      </w:r>
      <w:r>
        <w:rPr>
          <w:color w:val="6E6158"/>
          <w:spacing w:val="26"/>
        </w:rPr>
        <w:t> </w:t>
      </w:r>
      <w:r>
        <w:rPr>
          <w:color w:val="6E6158"/>
        </w:rPr>
        <w:t>Specialization,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designation</w:t>
      </w:r>
      <w:r>
        <w:rPr>
          <w:color w:val="6E6158"/>
          <w:spacing w:val="26"/>
        </w:rPr>
        <w:t> </w:t>
      </w:r>
      <w:r>
        <w:rPr>
          <w:color w:val="6E6158"/>
        </w:rPr>
        <w:t>held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limited</w:t>
      </w:r>
      <w:r>
        <w:rPr>
          <w:color w:val="6E6158"/>
          <w:spacing w:val="26"/>
        </w:rPr>
        <w:t> </w:t>
      </w:r>
      <w:r>
        <w:rPr>
          <w:color w:val="6E6158"/>
        </w:rPr>
        <w:t>number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attorneys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state and</w:t>
      </w:r>
      <w:r>
        <w:rPr>
          <w:color w:val="6E6158"/>
          <w:spacing w:val="30"/>
        </w:rPr>
        <w:t> </w:t>
      </w:r>
      <w:r>
        <w:rPr>
          <w:color w:val="6E6158"/>
        </w:rPr>
        <w:t>recognized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mark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advanced</w:t>
      </w:r>
      <w:r>
        <w:rPr>
          <w:color w:val="6E6158"/>
          <w:spacing w:val="30"/>
        </w:rPr>
        <w:t> </w:t>
      </w:r>
      <w:r>
        <w:rPr>
          <w:color w:val="6E6158"/>
        </w:rPr>
        <w:t>knowledge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experience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these</w:t>
      </w:r>
      <w:r>
        <w:rPr>
          <w:color w:val="6E6158"/>
          <w:spacing w:val="30"/>
        </w:rPr>
        <w:t> </w:t>
      </w:r>
      <w:r>
        <w:rPr>
          <w:color w:val="6E6158"/>
        </w:rPr>
        <w:t>areas.</w:t>
      </w:r>
    </w:p>
    <w:p>
      <w:pPr>
        <w:pStyle w:val="BodyText"/>
        <w:spacing w:line="295" w:lineRule="auto" w:before="191"/>
        <w:ind w:left="99" w:right="309"/>
      </w:pPr>
      <w:r>
        <w:rPr>
          <w:color w:val="6E6158"/>
        </w:rPr>
        <w:t>Before joining Fennemore, Doug had a private practice in Oregon and California, later</w:t>
      </w:r>
      <w:r>
        <w:rPr>
          <w:color w:val="6E6158"/>
          <w:spacing w:val="40"/>
        </w:rPr>
        <w:t> </w:t>
      </w:r>
      <w:r>
        <w:rPr>
          <w:color w:val="6E6158"/>
        </w:rPr>
        <w:t>establishing his work in Solano County, where he built strong relationships with clients and the</w:t>
      </w:r>
      <w:r>
        <w:rPr>
          <w:color w:val="6E6158"/>
          <w:spacing w:val="40"/>
        </w:rPr>
        <w:t> </w:t>
      </w:r>
      <w:r>
        <w:rPr>
          <w:color w:val="6E6158"/>
        </w:rPr>
        <w:t>local community. He valued the opportunity to work directly with individuals and families on a</w:t>
      </w:r>
      <w:r>
        <w:rPr>
          <w:color w:val="6E6158"/>
          <w:spacing w:val="40"/>
        </w:rPr>
        <w:t> </w:t>
      </w:r>
      <w:r>
        <w:rPr>
          <w:color w:val="6E6158"/>
        </w:rPr>
        <w:t>wide range of legal matters. At Fennemore, he continues to serve clients throughout California,</w:t>
      </w:r>
      <w:r>
        <w:rPr>
          <w:color w:val="6E6158"/>
          <w:spacing w:val="40"/>
        </w:rPr>
        <w:t> </w:t>
      </w:r>
      <w:r>
        <w:rPr>
          <w:color w:val="6E6158"/>
        </w:rPr>
        <w:t>combining</w:t>
      </w:r>
      <w:r>
        <w:rPr>
          <w:color w:val="6E6158"/>
          <w:spacing w:val="39"/>
        </w:rPr>
        <w:t> </w:t>
      </w:r>
      <w:r>
        <w:rPr>
          <w:color w:val="6E6158"/>
        </w:rPr>
        <w:t>a</w:t>
      </w:r>
      <w:r>
        <w:rPr>
          <w:color w:val="6E6158"/>
          <w:spacing w:val="39"/>
        </w:rPr>
        <w:t> </w:t>
      </w:r>
      <w:r>
        <w:rPr>
          <w:color w:val="6E6158"/>
        </w:rPr>
        <w:t>personalized</w:t>
      </w:r>
      <w:r>
        <w:rPr>
          <w:color w:val="6E6158"/>
          <w:spacing w:val="39"/>
        </w:rPr>
        <w:t> </w:t>
      </w:r>
      <w:r>
        <w:rPr>
          <w:color w:val="6E6158"/>
        </w:rPr>
        <w:t>approach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the</w:t>
      </w:r>
      <w:r>
        <w:rPr>
          <w:color w:val="6E6158"/>
          <w:spacing w:val="39"/>
        </w:rPr>
        <w:t> </w:t>
      </w:r>
      <w:r>
        <w:rPr>
          <w:color w:val="6E6158"/>
        </w:rPr>
        <w:t>firm’s</w:t>
      </w:r>
      <w:r>
        <w:rPr>
          <w:color w:val="6E6158"/>
          <w:spacing w:val="39"/>
        </w:rPr>
        <w:t> </w:t>
      </w:r>
      <w:r>
        <w:rPr>
          <w:color w:val="6E6158"/>
        </w:rPr>
        <w:t>broader</w:t>
      </w:r>
      <w:r>
        <w:rPr>
          <w:color w:val="6E6158"/>
          <w:spacing w:val="39"/>
        </w:rPr>
        <w:t> </w:t>
      </w:r>
      <w:r>
        <w:rPr>
          <w:color w:val="6E6158"/>
        </w:rPr>
        <w:t>platform,</w:t>
      </w:r>
      <w:r>
        <w:rPr>
          <w:color w:val="6E6158"/>
          <w:spacing w:val="39"/>
        </w:rPr>
        <w:t> </w:t>
      </w:r>
      <w:r>
        <w:rPr>
          <w:color w:val="6E6158"/>
        </w:rPr>
        <w:t>technology</w:t>
      </w:r>
      <w:r>
        <w:rPr>
          <w:color w:val="6E6158"/>
          <w:spacing w:val="39"/>
        </w:rPr>
        <w:t> </w:t>
      </w:r>
      <w:r>
        <w:rPr>
          <w:color w:val="6E6158"/>
        </w:rPr>
        <w:t>resources, and forward-looking approach to legal services.</w:t>
      </w:r>
    </w:p>
    <w:p>
      <w:pPr>
        <w:pStyle w:val="Heading1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Certified Specialist in Estate Planning, Trust &amp; Probate Law, State Bar of California Board of Legal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Specialization</w:t>
      </w:r>
    </w:p>
    <w:p>
      <w:pPr>
        <w:pStyle w:val="BodyText"/>
        <w:spacing w:line="420" w:lineRule="auto" w:before="124"/>
        <w:ind w:left="99" w:right="4824"/>
      </w:pPr>
      <w:r>
        <w:rPr>
          <w:color w:val="6E6158"/>
        </w:rPr>
        <w:t>LL.M, University of Washington School of </w:t>
      </w:r>
      <w:r>
        <w:rPr>
          <w:color w:val="6E6158"/>
        </w:rPr>
        <w:t>Law J.D., Whittier Law School</w:t>
      </w:r>
    </w:p>
    <w:p>
      <w:pPr>
        <w:pStyle w:val="BodyText"/>
        <w:spacing w:before="6"/>
        <w:ind w:left="99"/>
      </w:pPr>
      <w:r>
        <w:rPr>
          <w:color w:val="6E6158"/>
        </w:rPr>
        <w:t>B.A.,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4824"/>
      </w:pPr>
      <w:r>
        <w:rPr>
          <w:color w:val="6E6158"/>
        </w:rPr>
        <w:t>Member, Solano County Bar </w:t>
      </w:r>
      <w:r>
        <w:rPr>
          <w:color w:val="6E6158"/>
        </w:rPr>
        <w:t>Association Member, Vacaville Sunrise Rotary</w:t>
      </w:r>
    </w:p>
    <w:p>
      <w:pPr>
        <w:pStyle w:val="BodyText"/>
        <w:spacing w:line="420" w:lineRule="auto"/>
        <w:ind w:left="99" w:right="4824"/>
      </w:pPr>
      <w:r>
        <w:rPr>
          <w:color w:val="6E6158"/>
        </w:rPr>
        <w:t>Member, Roseville Chamber of </w:t>
      </w:r>
      <w:r>
        <w:rPr>
          <w:color w:val="6E6158"/>
        </w:rPr>
        <w:t>Commerce Member, Roseville Rotary Club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https://www.fennemorelaw.com/contact-us/vacaville/" TargetMode="External"/><Relationship Id="rId11" Type="http://schemas.openxmlformats.org/officeDocument/2006/relationships/hyperlink" Target="mailto:dsplett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C. Spletter - Fennemore</dc:title>
  <dcterms:created xsi:type="dcterms:W3CDTF">2026-06-12T09:29:44Z</dcterms:created>
  <dcterms:modified xsi:type="dcterms:W3CDTF">2026-06-12T09:29:44Z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