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DOUGLAS YOUMANS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27525" y="763308"/>
                            <a:ext cx="146558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DOUGLAS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L.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YOUMANS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43413" y="2133494"/>
                            <a:ext cx="6337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Sacramento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916.920.5286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916.920.5286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48885" y="2500373"/>
                            <a:ext cx="16224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dyoumans@fennemorelaw.com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DOUGLAS YOUMANS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63;top:-3887;width:2308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DOUGLAS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L.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YOUMANS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18;top:-1729;width:998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Sacramento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916.920.5286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916.920.5286</w:t>
                        </w:r>
                      </w:p>
                    </w:txbxContent>
                  </v:textbox>
                  <w10:wrap type="none"/>
                </v:shape>
                <v:shape style="position:absolute;left:7239;top:-1151;width:2555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dyoumans@fennemorelaw.com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DOUGLAS</w:t>
      </w:r>
      <w:r>
        <w:rPr>
          <w:color w:val="FF8100"/>
          <w:spacing w:val="7"/>
        </w:rPr>
        <w:t> </w:t>
      </w:r>
      <w:r>
        <w:rPr>
          <w:color w:val="FF8100"/>
        </w:rPr>
        <w:t>L.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YOUMANS</w:t>
      </w:r>
    </w:p>
    <w:p>
      <w:pPr>
        <w:pStyle w:val="BodyText"/>
        <w:spacing w:line="295" w:lineRule="auto" w:before="146"/>
        <w:ind w:left="99" w:right="374"/>
      </w:pPr>
      <w:r>
        <w:rPr>
          <w:color w:val="6E6158"/>
        </w:rPr>
        <w:t>Douglas Youmans, with over 40 years of experience, practices in business, estate, real estate,</w:t>
      </w:r>
      <w:r>
        <w:rPr>
          <w:color w:val="6E6158"/>
          <w:spacing w:val="40"/>
        </w:rPr>
        <w:t> </w:t>
      </w:r>
      <w:r>
        <w:rPr>
          <w:color w:val="6E6158"/>
        </w:rPr>
        <w:t>and tax planning and controversy work. His practice is designed to offer comprehensive legal</w:t>
      </w:r>
      <w:r>
        <w:rPr>
          <w:color w:val="6E6158"/>
          <w:spacing w:val="40"/>
        </w:rPr>
        <w:t> </w:t>
      </w:r>
      <w:r>
        <w:rPr>
          <w:color w:val="6E6158"/>
        </w:rPr>
        <w:t>solutions, catering to the multifaceted needs of individuals, executives, and business owners</w:t>
      </w:r>
      <w:r>
        <w:rPr>
          <w:color w:val="6E6158"/>
          <w:spacing w:val="40"/>
        </w:rPr>
        <w:t> </w:t>
      </w:r>
      <w:r>
        <w:rPr>
          <w:color w:val="6E6158"/>
        </w:rPr>
        <w:t>navigating the legal system. This integrated approach ensures clients receive thorough legal</w:t>
      </w:r>
      <w:r>
        <w:rPr>
          <w:color w:val="6E6158"/>
          <w:spacing w:val="40"/>
        </w:rPr>
        <w:t> </w:t>
      </w:r>
      <w:r>
        <w:rPr>
          <w:color w:val="6E6158"/>
        </w:rPr>
        <w:t>advice,</w:t>
      </w:r>
      <w:r>
        <w:rPr>
          <w:color w:val="6E6158"/>
          <w:spacing w:val="37"/>
        </w:rPr>
        <w:t> </w:t>
      </w:r>
      <w:r>
        <w:rPr>
          <w:color w:val="6E6158"/>
        </w:rPr>
        <w:t>covering</w:t>
      </w:r>
      <w:r>
        <w:rPr>
          <w:color w:val="6E6158"/>
          <w:spacing w:val="37"/>
        </w:rPr>
        <w:t> </w:t>
      </w:r>
      <w:r>
        <w:rPr>
          <w:color w:val="6E6158"/>
        </w:rPr>
        <w:t>various</w:t>
      </w:r>
      <w:r>
        <w:rPr>
          <w:color w:val="6E6158"/>
          <w:spacing w:val="37"/>
        </w:rPr>
        <w:t> </w:t>
      </w:r>
      <w:r>
        <w:rPr>
          <w:color w:val="6E6158"/>
        </w:rPr>
        <w:t>aspects</w:t>
      </w:r>
      <w:r>
        <w:rPr>
          <w:color w:val="6E6158"/>
          <w:spacing w:val="37"/>
        </w:rPr>
        <w:t> </w:t>
      </w:r>
      <w:r>
        <w:rPr>
          <w:color w:val="6E6158"/>
        </w:rPr>
        <w:t>of</w:t>
      </w:r>
      <w:r>
        <w:rPr>
          <w:color w:val="6E6158"/>
          <w:spacing w:val="37"/>
        </w:rPr>
        <w:t> </w:t>
      </w:r>
      <w:r>
        <w:rPr>
          <w:color w:val="6E6158"/>
        </w:rPr>
        <w:t>their</w:t>
      </w:r>
      <w:r>
        <w:rPr>
          <w:color w:val="6E6158"/>
          <w:spacing w:val="37"/>
        </w:rPr>
        <w:t> </w:t>
      </w:r>
      <w:r>
        <w:rPr>
          <w:color w:val="6E6158"/>
        </w:rPr>
        <w:t>professional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personal</w:t>
      </w:r>
      <w:r>
        <w:rPr>
          <w:color w:val="6E6158"/>
          <w:spacing w:val="37"/>
        </w:rPr>
        <w:t> </w:t>
      </w:r>
      <w:r>
        <w:rPr>
          <w:color w:val="6E6158"/>
        </w:rPr>
        <w:t>legal</w:t>
      </w:r>
      <w:r>
        <w:rPr>
          <w:color w:val="6E6158"/>
          <w:spacing w:val="37"/>
        </w:rPr>
        <w:t> </w:t>
      </w:r>
      <w:r>
        <w:rPr>
          <w:color w:val="6E6158"/>
        </w:rPr>
        <w:t>requirements.</w:t>
      </w:r>
    </w:p>
    <w:p>
      <w:pPr>
        <w:pStyle w:val="BodyText"/>
        <w:spacing w:before="203"/>
        <w:ind w:left="99"/>
      </w:pP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addition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directly</w:t>
      </w:r>
      <w:r>
        <w:rPr>
          <w:color w:val="6E6158"/>
          <w:spacing w:val="12"/>
        </w:rPr>
        <w:t> </w:t>
      </w:r>
      <w:r>
        <w:rPr>
          <w:color w:val="6E6158"/>
        </w:rPr>
        <w:t>serving</w:t>
      </w:r>
      <w:r>
        <w:rPr>
          <w:color w:val="6E6158"/>
          <w:spacing w:val="11"/>
        </w:rPr>
        <w:t> </w:t>
      </w:r>
      <w:r>
        <w:rPr>
          <w:color w:val="6E6158"/>
        </w:rPr>
        <w:t>clients,</w:t>
      </w:r>
      <w:r>
        <w:rPr>
          <w:color w:val="6E6158"/>
          <w:spacing w:val="12"/>
        </w:rPr>
        <w:t> </w:t>
      </w:r>
      <w:r>
        <w:rPr>
          <w:color w:val="6E6158"/>
        </w:rPr>
        <w:t>Douglas</w:t>
      </w:r>
      <w:r>
        <w:rPr>
          <w:color w:val="6E6158"/>
          <w:spacing w:val="11"/>
        </w:rPr>
        <w:t> </w:t>
      </w:r>
      <w:r>
        <w:rPr>
          <w:color w:val="6E6158"/>
        </w:rPr>
        <w:t>offers</w:t>
      </w:r>
      <w:r>
        <w:rPr>
          <w:color w:val="6E6158"/>
          <w:spacing w:val="12"/>
        </w:rPr>
        <w:t> </w:t>
      </w:r>
      <w:r>
        <w:rPr>
          <w:color w:val="6E6158"/>
        </w:rPr>
        <w:t>legal</w:t>
      </w:r>
      <w:r>
        <w:rPr>
          <w:color w:val="6E6158"/>
          <w:spacing w:val="11"/>
        </w:rPr>
        <w:t> </w:t>
      </w:r>
      <w:r>
        <w:rPr>
          <w:color w:val="6E6158"/>
        </w:rPr>
        <w:t>services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primary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attorneys,</w:t>
      </w:r>
    </w:p>
    <w:p>
      <w:pPr>
        <w:pStyle w:val="BodyText"/>
        <w:spacing w:line="292" w:lineRule="auto" w:before="52"/>
        <w:ind w:left="99" w:right="374"/>
      </w:pPr>
      <w:r>
        <w:rPr>
          <w:color w:val="6E6158"/>
        </w:rPr>
        <w:t>accountants, financial advisors, and other representatives. His proactive legal risk </w:t>
      </w:r>
      <w:r>
        <w:rPr>
          <w:color w:val="6E6158"/>
        </w:rPr>
        <w:t>management</w:t>
      </w:r>
      <w:r>
        <w:rPr>
          <w:color w:val="6E6158"/>
          <w:spacing w:val="40"/>
        </w:rPr>
        <w:t> </w:t>
      </w:r>
      <w:r>
        <w:rPr>
          <w:color w:val="6E6158"/>
        </w:rPr>
        <w:t>strategies are a cornerstone of his practice, aiming to foresee and mitigate legal issues before</w:t>
      </w:r>
      <w:r>
        <w:rPr>
          <w:color w:val="6E6158"/>
          <w:spacing w:val="40"/>
        </w:rPr>
        <w:t> </w:t>
      </w:r>
      <w:r>
        <w:rPr>
          <w:color w:val="6E6158"/>
        </w:rPr>
        <w:t>they</w:t>
      </w:r>
      <w:r>
        <w:rPr>
          <w:color w:val="6E6158"/>
          <w:spacing w:val="30"/>
        </w:rPr>
        <w:t> </w:t>
      </w:r>
      <w:r>
        <w:rPr>
          <w:color w:val="6E6158"/>
        </w:rPr>
        <w:t>arise,</w:t>
      </w:r>
      <w:r>
        <w:rPr>
          <w:color w:val="6E6158"/>
          <w:spacing w:val="30"/>
        </w:rPr>
        <w:t> </w:t>
      </w:r>
      <w:r>
        <w:rPr>
          <w:color w:val="6E6158"/>
        </w:rPr>
        <w:t>thus</w:t>
      </w:r>
      <w:r>
        <w:rPr>
          <w:color w:val="6E6158"/>
          <w:spacing w:val="30"/>
        </w:rPr>
        <w:t> </w:t>
      </w:r>
      <w:r>
        <w:rPr>
          <w:color w:val="6E6158"/>
        </w:rPr>
        <w:t>providing</w:t>
      </w:r>
      <w:r>
        <w:rPr>
          <w:color w:val="6E6158"/>
          <w:spacing w:val="30"/>
        </w:rPr>
        <w:t> </w:t>
      </w:r>
      <w:r>
        <w:rPr>
          <w:color w:val="6E6158"/>
        </w:rPr>
        <w:t>clients</w:t>
      </w:r>
      <w:r>
        <w:rPr>
          <w:color w:val="6E6158"/>
          <w:spacing w:val="30"/>
        </w:rPr>
        <w:t> </w:t>
      </w:r>
      <w:r>
        <w:rPr>
          <w:color w:val="6E6158"/>
        </w:rPr>
        <w:t>with</w:t>
      </w:r>
      <w:r>
        <w:rPr>
          <w:color w:val="6E6158"/>
          <w:spacing w:val="30"/>
        </w:rPr>
        <w:t> </w:t>
      </w:r>
      <w:r>
        <w:rPr>
          <w:color w:val="6E6158"/>
        </w:rPr>
        <w:t>peace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mind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safeguarding</w:t>
      </w:r>
      <w:r>
        <w:rPr>
          <w:color w:val="6E6158"/>
          <w:spacing w:val="30"/>
        </w:rPr>
        <w:t> </w:t>
      </w:r>
      <w:r>
        <w:rPr>
          <w:color w:val="6E6158"/>
        </w:rPr>
        <w:t>their</w:t>
      </w:r>
      <w:r>
        <w:rPr>
          <w:color w:val="6E6158"/>
          <w:spacing w:val="30"/>
        </w:rPr>
        <w:t> </w:t>
      </w:r>
      <w:r>
        <w:rPr>
          <w:color w:val="6E6158"/>
        </w:rPr>
        <w:t>interests.</w:t>
      </w:r>
    </w:p>
    <w:p>
      <w:pPr>
        <w:pStyle w:val="Heading2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3628"/>
      </w:pPr>
      <w:r>
        <w:rPr>
          <w:color w:val="6E6158"/>
        </w:rPr>
        <w:t>J.D., University of the Pacific, McGeorge School of </w:t>
      </w:r>
      <w:r>
        <w:rPr>
          <w:color w:val="6E6158"/>
        </w:rPr>
        <w:t>Law</w:t>
      </w:r>
      <w:r>
        <w:rPr>
          <w:color w:val="6E6158"/>
        </w:rPr>
        <w:t> M.B.A., Taxation, Golden Gate University</w:t>
      </w:r>
    </w:p>
    <w:p>
      <w:pPr>
        <w:spacing w:line="234" w:lineRule="exact" w:before="0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B.A.,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Temple University,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69"/>
        <w:rPr>
          <w:i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33"/>
        <w:rPr>
          <w:b/>
        </w:rPr>
      </w:pPr>
    </w:p>
    <w:p>
      <w:pPr>
        <w:pStyle w:val="BodyText"/>
        <w:ind w:left="99"/>
      </w:pPr>
      <w:r>
        <w:rPr>
          <w:color w:val="6E6158"/>
        </w:rPr>
        <w:t>Tax</w:t>
      </w:r>
      <w:r>
        <w:rPr>
          <w:color w:val="6E6158"/>
          <w:spacing w:val="10"/>
        </w:rPr>
        <w:t> </w:t>
      </w:r>
      <w:r>
        <w:rPr>
          <w:color w:val="6E6158"/>
        </w:rPr>
        <w:t>Planning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Controversy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Resolution</w:t>
      </w:r>
    </w:p>
    <w:p>
      <w:pPr>
        <w:pStyle w:val="BodyText"/>
        <w:spacing w:line="420" w:lineRule="auto" w:before="174"/>
        <w:ind w:left="99" w:right="4258"/>
      </w:pPr>
      <w:r>
        <w:rPr>
          <w:color w:val="6E6158"/>
        </w:rPr>
        <w:t>Business Planning, including Mergers &amp; </w:t>
      </w:r>
      <w:r>
        <w:rPr>
          <w:color w:val="6E6158"/>
        </w:rPr>
        <w:t>Acquisitions Trust Administration</w:t>
      </w:r>
    </w:p>
    <w:p>
      <w:pPr>
        <w:pStyle w:val="BodyText"/>
        <w:spacing w:line="422" w:lineRule="auto" w:before="120"/>
        <w:ind w:left="99" w:right="6833"/>
      </w:pPr>
      <w:r>
        <w:rPr>
          <w:color w:val="6E6158"/>
        </w:rPr>
        <w:t>Business &amp; Finance Mergers &amp; </w:t>
      </w:r>
      <w:r>
        <w:rPr>
          <w:color w:val="6E6158"/>
        </w:rPr>
        <w:t>Acquisitions Real Estate</w:t>
      </w:r>
    </w:p>
    <w:p>
      <w:pPr>
        <w:pStyle w:val="BodyText"/>
        <w:spacing w:line="232" w:lineRule="exact"/>
        <w:ind w:left="99"/>
      </w:pPr>
      <w:r>
        <w:rPr>
          <w:color w:val="6E6158"/>
        </w:rPr>
        <w:t>Tax</w:t>
      </w:r>
      <w:r>
        <w:rPr>
          <w:color w:val="6E6158"/>
          <w:spacing w:val="-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 w:line="232" w:lineRule="exact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left="99" w:right="7377"/>
      </w:pPr>
      <w:r>
        <w:rPr>
          <w:color w:val="6E6158"/>
        </w:rPr>
        <w:t>Trusts &amp; Estates 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Heading2"/>
        <w:spacing w:before="290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AV</w:t>
      </w:r>
      <w:r>
        <w:rPr>
          <w:color w:val="6E6158"/>
          <w:spacing w:val="10"/>
        </w:rPr>
        <w:t> </w:t>
      </w:r>
      <w:r>
        <w:rPr>
          <w:color w:val="6E6158"/>
        </w:rPr>
        <w:t>Preeminent</w:t>
      </w:r>
      <w:r>
        <w:rPr>
          <w:color w:val="6E6158"/>
          <w:spacing w:val="10"/>
        </w:rPr>
        <w:t> </w:t>
      </w:r>
      <w:r>
        <w:rPr>
          <w:color w:val="6E6158"/>
        </w:rPr>
        <w:t>5.0</w:t>
      </w:r>
      <w:r>
        <w:rPr>
          <w:color w:val="6E6158"/>
          <w:spacing w:val="11"/>
        </w:rPr>
        <w:t> </w:t>
      </w:r>
      <w:r>
        <w:rPr>
          <w:color w:val="6E6158"/>
        </w:rPr>
        <w:t>Peer</w:t>
      </w:r>
      <w:r>
        <w:rPr>
          <w:color w:val="6E6158"/>
          <w:spacing w:val="10"/>
        </w:rPr>
        <w:t> </w:t>
      </w:r>
      <w:r>
        <w:rPr>
          <w:color w:val="6E6158"/>
        </w:rPr>
        <w:t>Review</w:t>
      </w:r>
      <w:r>
        <w:rPr>
          <w:color w:val="6E6158"/>
          <w:spacing w:val="10"/>
        </w:rPr>
        <w:t> </w:t>
      </w:r>
      <w:r>
        <w:rPr>
          <w:color w:val="6E6158"/>
        </w:rPr>
        <w:t>Rated</w:t>
      </w:r>
      <w:r>
        <w:rPr>
          <w:color w:val="6E6158"/>
          <w:spacing w:val="11"/>
        </w:rPr>
        <w:t> </w:t>
      </w:r>
      <w:r>
        <w:rPr>
          <w:color w:val="6E6158"/>
        </w:rPr>
        <w:t>by</w:t>
      </w:r>
      <w:r>
        <w:rPr>
          <w:color w:val="6E6158"/>
          <w:spacing w:val="10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line="292" w:lineRule="auto" w:before="174"/>
        <w:ind w:left="99" w:right="374"/>
      </w:pPr>
      <w:r>
        <w:rPr>
          <w:color w:val="6E6158"/>
        </w:rPr>
        <w:t>Recipient of the 2015 V Judson Klein award, which the Tax Section of the California State Bar</w:t>
      </w:r>
      <w:r>
        <w:rPr>
          <w:color w:val="6E6158"/>
          <w:spacing w:val="40"/>
        </w:rPr>
        <w:t> </w:t>
      </w:r>
      <w:r>
        <w:rPr>
          <w:color w:val="6E6158"/>
        </w:rPr>
        <w:t>awards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distinguished</w:t>
      </w:r>
      <w:r>
        <w:rPr>
          <w:color w:val="6E6158"/>
          <w:spacing w:val="29"/>
        </w:rPr>
        <w:t> </w:t>
      </w:r>
      <w:r>
        <w:rPr>
          <w:color w:val="6E6158"/>
        </w:rPr>
        <w:t>attorney,</w:t>
      </w:r>
      <w:r>
        <w:rPr>
          <w:color w:val="6E6158"/>
          <w:spacing w:val="29"/>
        </w:rPr>
        <w:t> </w:t>
      </w:r>
      <w:r>
        <w:rPr>
          <w:color w:val="6E6158"/>
        </w:rPr>
        <w:t>based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their</w:t>
      </w:r>
      <w:r>
        <w:rPr>
          <w:color w:val="6E6158"/>
          <w:spacing w:val="29"/>
        </w:rPr>
        <w:t> </w:t>
      </w:r>
      <w:r>
        <w:rPr>
          <w:color w:val="6E6158"/>
        </w:rPr>
        <w:t>achievements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service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Bar</w:t>
      </w:r>
    </w:p>
    <w:p>
      <w:pPr>
        <w:spacing w:before="116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Northern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California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11"/>
          <w:sz w:val="19"/>
        </w:rPr>
        <w:t> </w:t>
      </w:r>
      <w:r>
        <w:rPr>
          <w:color w:val="6E6158"/>
          <w:sz w:val="19"/>
        </w:rPr>
        <w:t>Tax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11"/>
          <w:sz w:val="19"/>
        </w:rPr>
        <w:t> </w:t>
      </w:r>
      <w:r>
        <w:rPr>
          <w:color w:val="6E6158"/>
          <w:sz w:val="19"/>
        </w:rPr>
        <w:t>2014-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before="168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292" w:lineRule="auto"/>
        <w:ind w:left="99" w:right="374"/>
      </w:pPr>
      <w:r>
        <w:rPr>
          <w:color w:val="6E6158"/>
        </w:rPr>
        <w:t>Co-Author, “</w:t>
      </w:r>
      <w:hyperlink r:id="rId11">
        <w:r>
          <w:rPr>
            <w:color w:val="F5821F"/>
          </w:rPr>
          <w:t>Treasury Suspends Enforcement of Corporate Transparency Act &amp; </w:t>
        </w:r>
        <w:r>
          <w:rPr>
            <w:color w:val="F5821F"/>
          </w:rPr>
          <w:t>Proposes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Narrowed Scope</w:t>
        </w:r>
      </w:hyperlink>
      <w:r>
        <w:rPr>
          <w:color w:val="6E6158"/>
        </w:rPr>
        <w:t>,” Fennemore Blog, March 5, 2025</w:t>
      </w:r>
    </w:p>
    <w:p>
      <w:pPr>
        <w:pStyle w:val="BodyText"/>
        <w:spacing w:line="302" w:lineRule="auto" w:before="124"/>
        <w:ind w:left="99"/>
      </w:pPr>
      <w:r>
        <w:rPr>
          <w:color w:val="6E6158"/>
        </w:rPr>
        <w:t>Co-Author, “</w:t>
      </w:r>
      <w:hyperlink r:id="rId12">
        <w:r>
          <w:rPr>
            <w:color w:val="F5821F"/>
          </w:rPr>
          <w:t>Client Alert: Corporate Transparency Act Compliance – New Filing Deadline </w:t>
        </w:r>
        <w:r>
          <w:rPr>
            <w:color w:val="F5821F"/>
          </w:rPr>
          <w:t>&amp;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Compliance Tool</w:t>
        </w:r>
      </w:hyperlink>
      <w:r>
        <w:rPr>
          <w:color w:val="6E6158"/>
        </w:rPr>
        <w:t>,” Fennemore Blog, February 20, 2025</w:t>
      </w:r>
    </w:p>
    <w:p>
      <w:pPr>
        <w:pStyle w:val="BodyText"/>
        <w:spacing w:line="292" w:lineRule="auto" w:before="112"/>
        <w:ind w:left="99"/>
      </w:pPr>
      <w:r>
        <w:rPr>
          <w:color w:val="6E6158"/>
        </w:rPr>
        <w:t>Co-Author, “</w:t>
      </w:r>
      <w:hyperlink r:id="rId13">
        <w:r>
          <w:rPr>
            <w:color w:val="F5821F"/>
          </w:rPr>
          <w:t>Nationwide Injunction Temporarily Halts Corporate Transparency Act BOIR </w:t>
        </w:r>
        <w:r>
          <w:rPr>
            <w:color w:val="F5821F"/>
          </w:rPr>
          <w:t>Filing</w:t>
        </w:r>
      </w:hyperlink>
      <w:r>
        <w:rPr>
          <w:color w:val="F5821F"/>
        </w:rPr>
        <w:t> </w:t>
      </w:r>
      <w:hyperlink r:id="rId13">
        <w:r>
          <w:rPr>
            <w:color w:val="F5821F"/>
          </w:rPr>
          <w:t>Requirements: What You Need to Know</w:t>
        </w:r>
      </w:hyperlink>
      <w:r>
        <w:rPr>
          <w:color w:val="6E6158"/>
        </w:rPr>
        <w:t>,” Fennemore Blog, December 5, 2024</w:t>
      </w:r>
    </w:p>
    <w:p>
      <w:pPr>
        <w:pStyle w:val="BodyText"/>
        <w:spacing w:before="113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  <w:ind w:left="99"/>
      </w:pPr>
      <w:r>
        <w:rPr>
          <w:color w:val="6E6158"/>
        </w:rPr>
        <w:t>Chair,</w:t>
      </w:r>
      <w:r>
        <w:rPr>
          <w:color w:val="6E6158"/>
          <w:spacing w:val="10"/>
        </w:rPr>
        <w:t> </w:t>
      </w:r>
      <w:r>
        <w:rPr>
          <w:color w:val="6E6158"/>
        </w:rPr>
        <w:t>Executive</w:t>
      </w:r>
      <w:r>
        <w:rPr>
          <w:color w:val="6E6158"/>
          <w:spacing w:val="10"/>
        </w:rPr>
        <w:t> </w:t>
      </w:r>
      <w:r>
        <w:rPr>
          <w:color w:val="6E6158"/>
        </w:rPr>
        <w:t>Committee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Taxation</w:t>
      </w:r>
      <w:r>
        <w:rPr>
          <w:color w:val="6E6158"/>
          <w:spacing w:val="10"/>
        </w:rPr>
        <w:t> </w:t>
      </w:r>
      <w:r>
        <w:rPr>
          <w:color w:val="6E6158"/>
        </w:rPr>
        <w:t>Section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California,</w:t>
      </w:r>
      <w:r>
        <w:rPr>
          <w:color w:val="6E6158"/>
          <w:spacing w:val="10"/>
        </w:rPr>
        <w:t> </w:t>
      </w:r>
      <w:r>
        <w:rPr>
          <w:color w:val="6E6158"/>
        </w:rPr>
        <w:t>2012-</w:t>
      </w:r>
      <w:r>
        <w:rPr>
          <w:color w:val="6E6158"/>
          <w:spacing w:val="-4"/>
        </w:rPr>
        <w:t>2013</w:t>
      </w:r>
    </w:p>
    <w:p>
      <w:pPr>
        <w:pStyle w:val="BodyText"/>
        <w:spacing w:line="292" w:lineRule="auto" w:before="174"/>
        <w:ind w:left="99" w:right="374"/>
      </w:pPr>
      <w:r>
        <w:rPr>
          <w:color w:val="6E6158"/>
        </w:rPr>
        <w:t>Chair of the Corporations and other Business Entities Committee of the State Bar of </w:t>
      </w:r>
      <w:r>
        <w:rPr>
          <w:color w:val="6E6158"/>
        </w:rPr>
        <w:t>California</w:t>
      </w:r>
      <w:r>
        <w:rPr>
          <w:color w:val="6E6158"/>
          <w:spacing w:val="40"/>
        </w:rPr>
        <w:t> </w:t>
      </w:r>
      <w:r>
        <w:rPr>
          <w:color w:val="6E6158"/>
        </w:rPr>
        <w:t>Taxation Section</w:t>
      </w:r>
    </w:p>
    <w:p>
      <w:pPr>
        <w:pStyle w:val="BodyText"/>
        <w:spacing w:line="420" w:lineRule="auto" w:before="132"/>
        <w:ind w:left="99" w:right="951"/>
      </w:pPr>
      <w:r>
        <w:rPr>
          <w:color w:val="6E6158"/>
        </w:rPr>
        <w:t>Member, State Bar of California Probate, Practice Management and Tax Sections Member, American Bar Association</w:t>
      </w:r>
    </w:p>
    <w:p>
      <w:pPr>
        <w:pStyle w:val="BodyText"/>
        <w:spacing w:line="422" w:lineRule="auto"/>
        <w:ind w:left="99" w:right="4258"/>
      </w:pPr>
      <w:r>
        <w:rPr>
          <w:color w:val="6E6158"/>
        </w:rPr>
        <w:t>Member, Sacramento County Bar Association Member, Society of California Accountants </w:t>
      </w:r>
      <w:r>
        <w:rPr>
          <w:color w:val="6E6158"/>
        </w:rPr>
        <w:t>(SCA) Member, California Society of CPAs (CALCPA) Member, American Institute of CPAs (AICPA)</w:t>
      </w:r>
    </w:p>
    <w:p>
      <w:pPr>
        <w:pStyle w:val="BodyText"/>
        <w:spacing w:line="292" w:lineRule="auto"/>
        <w:ind w:left="99"/>
      </w:pPr>
      <w:r>
        <w:rPr>
          <w:color w:val="6E6158"/>
        </w:rPr>
        <w:t>Author and paper presenter for several of the California State Bar Taxation Section’s Annual</w:t>
      </w:r>
      <w:r>
        <w:rPr>
          <w:color w:val="6E6158"/>
          <w:spacing w:val="40"/>
        </w:rPr>
        <w:t> </w:t>
      </w:r>
      <w:r>
        <w:rPr>
          <w:color w:val="6E6158"/>
        </w:rPr>
        <w:t>delegations to Washington D.C.</w:t>
      </w:r>
    </w:p>
    <w:p>
      <w:pPr>
        <w:pStyle w:val="BodyText"/>
        <w:spacing w:line="292" w:lineRule="auto" w:before="125"/>
        <w:ind w:left="99" w:right="374"/>
      </w:pPr>
      <w:r>
        <w:rPr>
          <w:color w:val="6E6158"/>
        </w:rPr>
        <w:t>Charter Member and Former Chair, Internal Revenue Service Sacramento District </w:t>
      </w:r>
      <w:r>
        <w:rPr>
          <w:color w:val="6E6158"/>
        </w:rPr>
        <w:t>Practitioners Liaison Committee</w:t>
      </w:r>
    </w:p>
    <w:p>
      <w:pPr>
        <w:pStyle w:val="BodyText"/>
        <w:spacing w:line="420" w:lineRule="auto" w:before="123"/>
        <w:ind w:left="99" w:right="3628"/>
      </w:pPr>
      <w:r>
        <w:rPr>
          <w:color w:val="6E6158"/>
        </w:rPr>
        <w:t>Charter Member, Franchise Tax Board Advisory </w:t>
      </w:r>
      <w:r>
        <w:rPr>
          <w:color w:val="6E6158"/>
        </w:rPr>
        <w:t>Group Adjunct Professor, Golden Gate University</w:t>
      </w:r>
    </w:p>
    <w:p>
      <w:pPr>
        <w:pStyle w:val="BodyText"/>
        <w:spacing w:before="7"/>
        <w:ind w:left="99"/>
      </w:pPr>
      <w:r>
        <w:rPr>
          <w:color w:val="6E6158"/>
        </w:rPr>
        <w:t>Adjunct</w:t>
      </w:r>
      <w:r>
        <w:rPr>
          <w:color w:val="6E6158"/>
          <w:spacing w:val="11"/>
        </w:rPr>
        <w:t> </w:t>
      </w:r>
      <w:r>
        <w:rPr>
          <w:color w:val="6E6158"/>
        </w:rPr>
        <w:t>Professor,</w:t>
      </w:r>
      <w:r>
        <w:rPr>
          <w:color w:val="6E6158"/>
          <w:spacing w:val="12"/>
        </w:rPr>
        <w:t> </w:t>
      </w:r>
      <w:r>
        <w:rPr>
          <w:color w:val="6E6158"/>
        </w:rPr>
        <w:t>Sacramento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</w:rPr>
        <w:t>California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4"/>
        </w:rPr>
        <w:t> </w:t>
      </w:r>
      <w:r>
        <w:rPr>
          <w:color w:val="6E6158"/>
        </w:rPr>
        <w:t>Bar</w:t>
      </w:r>
      <w:r>
        <w:rPr>
          <w:color w:val="6E6158"/>
          <w:spacing w:val="14"/>
        </w:rPr>
        <w:t> </w:t>
      </w:r>
      <w:r>
        <w:rPr>
          <w:color w:val="6E6158"/>
        </w:rPr>
        <w:t>(Certified</w:t>
      </w:r>
      <w:r>
        <w:rPr>
          <w:color w:val="6E6158"/>
          <w:spacing w:val="14"/>
        </w:rPr>
        <w:t> </w:t>
      </w:r>
      <w:r>
        <w:rPr>
          <w:color w:val="6E6158"/>
        </w:rPr>
        <w:t>Specialist,</w:t>
      </w:r>
      <w:r>
        <w:rPr>
          <w:color w:val="6E6158"/>
          <w:spacing w:val="14"/>
        </w:rPr>
        <w:t> </w:t>
      </w:r>
      <w:r>
        <w:rPr>
          <w:color w:val="6E6158"/>
        </w:rPr>
        <w:t>Taxation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Law)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Supreme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Courts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Seventh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Circuits</w:t>
      </w:r>
    </w:p>
    <w:p>
      <w:pPr>
        <w:pStyle w:val="BodyText"/>
        <w:spacing w:before="182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"/>
        </w:rPr>
        <w:t> </w:t>
      </w:r>
      <w:r>
        <w:rPr>
          <w:color w:val="6E6158"/>
        </w:rPr>
        <w:t>Tax</w:t>
      </w:r>
      <w:r>
        <w:rPr>
          <w:color w:val="6E6158"/>
          <w:spacing w:val="2"/>
        </w:rPr>
        <w:t> </w:t>
      </w:r>
      <w:r>
        <w:rPr>
          <w:color w:val="6E6158"/>
          <w:spacing w:val="-2"/>
        </w:rPr>
        <w:t>Court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2"/>
      <w:ind w:left="99"/>
      <w:outlineLvl w:val="1"/>
    </w:pPr>
    <w:rPr>
      <w:rFonts w:ascii="Century Gothic" w:hAnsi="Century Gothic" w:eastAsia="Century Gothic" w:cs="Century Gothic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sacramento/" TargetMode="External"/><Relationship Id="rId10" Type="http://schemas.openxmlformats.org/officeDocument/2006/relationships/hyperlink" Target="mailto:dyoumans@fennemorelaw.com" TargetMode="External"/><Relationship Id="rId11" Type="http://schemas.openxmlformats.org/officeDocument/2006/relationships/hyperlink" Target="https://www.fennemorelaw.com/treasury-suspends-enforcement-of-corporate-transparency-act-proposes-narrowed-scope/" TargetMode="External"/><Relationship Id="rId12" Type="http://schemas.openxmlformats.org/officeDocument/2006/relationships/hyperlink" Target="https://www.fennemorelaw.com/client-alert-corporate-transparency-act-compliance-new-filing-deadline-compliance-tool/" TargetMode="External"/><Relationship Id="rId13" Type="http://schemas.openxmlformats.org/officeDocument/2006/relationships/hyperlink" Target="https://www.fennemorelaw.com/nationwide-injunction-temporarily-halts-corporate-transparency-act-boir-filing-requirementswhat-you-need-to-know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Douglas L. Youmans - Fennemore</dc:title>
  <dcterms:created xsi:type="dcterms:W3CDTF">2026-06-30T15:20:41Z</dcterms:created>
  <dcterms:modified xsi:type="dcterms:W3CDTF">2026-06-30T15:20:41Z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v10.0.20070.1</vt:lpwstr>
  </property>
  <property fmtid="{D5CDD505-2E9C-101B-9397-08002B2CF9AE}" pid="3" name="Created">
    <vt:filetime>2026-06-30T00:00:00Z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2026-06-30T00:00:00Z</vt:filetime>
  </property>
  <property fmtid="{D5CDD505-2E9C-101B-9397-08002B2CF9AE}" pid="6" name="Producer">
    <vt:lpwstr>Skia/PDF m149</vt:lpwstr>
  </property>
</Properties>
</file>