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lise OBri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ELISE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O’BRIEN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eobrien@fennemorelaw.com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Elise OBrien Bio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ELISE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O’BRIEN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eobrien@fennemorelaw.com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6"/>
      </w:pPr>
      <w:r>
        <w:rPr>
          <w:color w:val="FF8100"/>
        </w:rPr>
        <w:t>ELISE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O'BRIEN</w:t>
      </w:r>
    </w:p>
    <w:p>
      <w:pPr>
        <w:pStyle w:val="BodyText"/>
        <w:spacing w:line="295" w:lineRule="auto" w:before="146"/>
        <w:ind w:left="99" w:right="640"/>
      </w:pPr>
      <w:r>
        <w:rPr>
          <w:color w:val="6E6158"/>
        </w:rPr>
        <w:t>Elise O’Brien is a director in our Irvine office who works in our Agribusiness and Employment &amp;</w:t>
      </w:r>
      <w:r>
        <w:rPr>
          <w:color w:val="6E6158"/>
          <w:spacing w:val="80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Elise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extensive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employers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and state court litigation involving wrongful termination, discrimination,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wage and hour claims. She has successfully represented management in various administrative</w:t>
      </w:r>
      <w:r>
        <w:rPr>
          <w:color w:val="6E6158"/>
          <w:spacing w:val="40"/>
        </w:rPr>
        <w:t> </w:t>
      </w:r>
      <w:r>
        <w:rPr>
          <w:color w:val="6E6158"/>
        </w:rPr>
        <w:t>forums, including the California Division of Labor Standards and Enforcement, the California Civil</w:t>
      </w:r>
      <w:r>
        <w:rPr>
          <w:color w:val="6E6158"/>
          <w:spacing w:val="40"/>
        </w:rPr>
        <w:t> </w:t>
      </w:r>
      <w:r>
        <w:rPr>
          <w:color w:val="6E6158"/>
        </w:rPr>
        <w:t>Rights</w:t>
      </w:r>
      <w:r>
        <w:rPr>
          <w:color w:val="6E6158"/>
          <w:spacing w:val="40"/>
        </w:rPr>
        <w:t> </w:t>
      </w:r>
      <w:r>
        <w:rPr>
          <w:color w:val="6E6158"/>
        </w:rPr>
        <w:t>Department,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40"/>
        </w:rPr>
        <w:t> </w:t>
      </w:r>
      <w:r>
        <w:rPr>
          <w:color w:val="6E6158"/>
        </w:rPr>
        <w:t>Board,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Equal</w:t>
      </w:r>
    </w:p>
    <w:p>
      <w:pPr>
        <w:pStyle w:val="BodyText"/>
        <w:spacing w:before="6"/>
        <w:ind w:left="99"/>
      </w:pP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Opportunity</w:t>
      </w:r>
      <w:r>
        <w:rPr>
          <w:color w:val="6E6158"/>
          <w:spacing w:val="16"/>
        </w:rPr>
        <w:t> </w:t>
      </w:r>
      <w:r>
        <w:rPr>
          <w:color w:val="6E6158"/>
        </w:rPr>
        <w:t>Commission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Labor</w:t>
      </w:r>
      <w:r>
        <w:rPr>
          <w:color w:val="6E6158"/>
          <w:spacing w:val="17"/>
        </w:rPr>
        <w:t> </w:t>
      </w:r>
      <w:r>
        <w:rPr>
          <w:color w:val="6E6158"/>
        </w:rPr>
        <w:t>Relations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left="99" w:right="392"/>
      </w:pPr>
      <w:r>
        <w:rPr>
          <w:color w:val="6E6158"/>
        </w:rPr>
        <w:t>Elise devotes a significant portion of her practice to advising employers on a broad spectrum of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including employee discipline, terminations, leaves of absence, and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hour</w:t>
      </w:r>
      <w:r>
        <w:rPr>
          <w:color w:val="6E6158"/>
          <w:spacing w:val="26"/>
        </w:rPr>
        <w:t> </w:t>
      </w:r>
      <w:r>
        <w:rPr>
          <w:color w:val="6E6158"/>
        </w:rPr>
        <w:t>issues.</w:t>
      </w:r>
      <w:r>
        <w:rPr>
          <w:color w:val="6E6158"/>
          <w:spacing w:val="26"/>
        </w:rPr>
        <w:t> </w:t>
      </w:r>
      <w:r>
        <w:rPr>
          <w:color w:val="6E6158"/>
        </w:rPr>
        <w:t>Elise</w:t>
      </w:r>
      <w:r>
        <w:rPr>
          <w:color w:val="6E6158"/>
          <w:spacing w:val="26"/>
        </w:rPr>
        <w:t> </w:t>
      </w:r>
      <w:r>
        <w:rPr>
          <w:color w:val="6E6158"/>
        </w:rPr>
        <w:t>regularly</w:t>
      </w:r>
      <w:r>
        <w:rPr>
          <w:color w:val="6E6158"/>
          <w:spacing w:val="26"/>
        </w:rPr>
        <w:t> </w:t>
      </w:r>
      <w:r>
        <w:rPr>
          <w:color w:val="6E6158"/>
        </w:rPr>
        <w:t>assists</w:t>
      </w:r>
      <w:r>
        <w:rPr>
          <w:color w:val="6E6158"/>
          <w:spacing w:val="26"/>
        </w:rPr>
        <w:t> </w:t>
      </w:r>
      <w:r>
        <w:rPr>
          <w:color w:val="6E6158"/>
        </w:rPr>
        <w:t>employers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drafting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policies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handbooks to ensure compliance with California, Washington, and federal law.</w:t>
      </w:r>
    </w:p>
    <w:p>
      <w:pPr>
        <w:pStyle w:val="BodyText"/>
        <w:spacing w:line="295" w:lineRule="auto" w:before="196"/>
        <w:ind w:left="99" w:right="640"/>
      </w:pPr>
      <w:r>
        <w:rPr>
          <w:color w:val="6E6158"/>
        </w:rPr>
        <w:t>In addition to her employment practice, Elise practices agricultural law and has nearly two</w:t>
      </w:r>
      <w:r>
        <w:rPr>
          <w:color w:val="6E6158"/>
          <w:spacing w:val="40"/>
        </w:rPr>
        <w:t> </w:t>
      </w:r>
      <w:r>
        <w:rPr>
          <w:color w:val="6E6158"/>
        </w:rPr>
        <w:t>decades of experience enforcing trust rights of produce sellers under the Perishable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 Act (PACA) in U.S. District and Bankruptcy Courts throughout the United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managing complex, multi-party PACA litigation. She also represents produce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individuals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administrative</w:t>
      </w:r>
      <w:r>
        <w:rPr>
          <w:color w:val="6E6158"/>
          <w:spacing w:val="31"/>
        </w:rPr>
        <w:t> </w:t>
      </w:r>
      <w:r>
        <w:rPr>
          <w:color w:val="6E6158"/>
        </w:rPr>
        <w:t>proceedings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PACA</w:t>
      </w:r>
      <w:r>
        <w:rPr>
          <w:color w:val="6E6158"/>
          <w:spacing w:val="31"/>
        </w:rPr>
        <w:t> </w:t>
      </w:r>
      <w:r>
        <w:rPr>
          <w:color w:val="6E6158"/>
        </w:rPr>
        <w:t>Branch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</w:p>
    <w:p>
      <w:pPr>
        <w:pStyle w:val="BodyText"/>
        <w:spacing w:line="232" w:lineRule="exact" w:before="0"/>
        <w:ind w:left="99"/>
      </w:pP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Agriculture.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0"/>
        <w:ind w:left="99" w:right="640"/>
      </w:pPr>
      <w:r>
        <w:rPr>
          <w:color w:val="6E6158"/>
        </w:rPr>
        <w:t>Outside of work, Elise enjoys traveling and spending time with her husband and two </w:t>
      </w:r>
      <w:r>
        <w:rPr>
          <w:color w:val="6E6158"/>
        </w:rPr>
        <w:t>young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children.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97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Food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Beverage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Chapman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Notes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Chapman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Review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Dean’s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Fellow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Wright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4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Beta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Gamma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Sigma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Agribusiness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Food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Beverage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534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2">
        <w:r>
          <w:rPr>
            <w:color w:val="F5821F"/>
            <w:sz w:val="19"/>
          </w:rPr>
          <w:t>The ‘No Tax’ Overtime Myth: Employer Payroll and Reporting Obligations Under the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One Big Beautiful Bill Act Explained</w:t>
        </w:r>
      </w:hyperlink>
      <w:r>
        <w:rPr>
          <w:color w:val="6E6158"/>
          <w:sz w:val="19"/>
        </w:rPr>
        <w:t>,” Fennemore Blog, February 16,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439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3">
        <w:r>
          <w:rPr>
            <w:color w:val="F5821F"/>
            <w:sz w:val="19"/>
          </w:rPr>
          <w:t>New Year, New Rules: Key California Employment Law Updates For 2026</w:t>
        </w:r>
      </w:hyperlink>
      <w:r>
        <w:rPr>
          <w:color w:val="6E6158"/>
          <w:sz w:val="19"/>
        </w:rPr>
        <w:t>,” Fennemore Blog, December 31,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511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4">
        <w:r>
          <w:rPr>
            <w:color w:val="F5821F"/>
            <w:sz w:val="19"/>
          </w:rPr>
          <w:t>“Stay-or-Pay” No More: California’s New Limits on Training and </w:t>
        </w:r>
        <w:r>
          <w:rPr>
            <w:color w:val="F5821F"/>
            <w:sz w:val="19"/>
          </w:rPr>
          <w:t>Retention</w:t>
        </w:r>
      </w:hyperlink>
      <w:r>
        <w:rPr>
          <w:color w:val="F5821F"/>
          <w:sz w:val="19"/>
        </w:rPr>
        <w:t> </w:t>
      </w:r>
      <w:hyperlink r:id="rId14">
        <w:r>
          <w:rPr>
            <w:color w:val="F5821F"/>
            <w:sz w:val="19"/>
          </w:rPr>
          <w:t>Agreement Payback</w:t>
        </w:r>
      </w:hyperlink>
      <w:r>
        <w:rPr>
          <w:color w:val="6E6158"/>
          <w:sz w:val="19"/>
        </w:rPr>
        <w:t>,” Fennemore Blog, December 10,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</w:t>
      </w:r>
      <w:hyperlink r:id="rId15">
        <w:r>
          <w:rPr>
            <w:color w:val="F5821F"/>
            <w:sz w:val="19"/>
          </w:rPr>
          <w:t>A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Canadian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Produce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Trust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Eh</w:t>
        </w:r>
      </w:hyperlink>
      <w:r>
        <w:rPr>
          <w:color w:val="6E6158"/>
          <w:sz w:val="19"/>
        </w:rPr>
        <w:t>?”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Fennemore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Client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Alert,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17,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2025.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046" w:firstLine="0"/>
        <w:jc w:val="left"/>
        <w:rPr>
          <w:sz w:val="19"/>
        </w:rPr>
      </w:pPr>
      <w:r>
        <w:rPr>
          <w:color w:val="6E6158"/>
          <w:sz w:val="19"/>
        </w:rPr>
        <w:t>Co-Author, “Unionization in the Fast Lane: NLRB’s New Rule Accelerates Union </w:t>
      </w:r>
      <w:r>
        <w:rPr>
          <w:color w:val="6E6158"/>
          <w:sz w:val="19"/>
        </w:rPr>
        <w:t>Formation,” California Lawyers Association, Business Law News, Spring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485" w:firstLine="0"/>
        <w:jc w:val="left"/>
        <w:rPr>
          <w:sz w:val="19"/>
        </w:rPr>
      </w:pPr>
      <w:r>
        <w:rPr>
          <w:color w:val="6E6158"/>
          <w:sz w:val="19"/>
        </w:rPr>
        <w:t>Co-Author, “Two New California Non-Compete Laws Take Aim at Employers in the Golden State and Beyond,” California Lawyers Association, Business Law News, Spring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767" w:firstLine="0"/>
        <w:jc w:val="left"/>
        <w:rPr>
          <w:sz w:val="19"/>
        </w:rPr>
      </w:pPr>
      <w:r>
        <w:rPr>
          <w:color w:val="6E6158"/>
          <w:sz w:val="19"/>
        </w:rPr>
        <w:t>Speaker, “To Arbitrate or Not to Arbitrate? That is the Question,” Western Growers Association Webinar, May 15,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31" w:after="0"/>
        <w:ind w:left="99" w:right="2314" w:firstLine="0"/>
        <w:jc w:val="left"/>
        <w:rPr>
          <w:sz w:val="19"/>
        </w:rPr>
      </w:pPr>
      <w:hyperlink r:id="rId16">
        <w:r>
          <w:rPr>
            <w:color w:val="F5821F"/>
            <w:sz w:val="19"/>
          </w:rPr>
          <w:t>Co-Author, “SCOTUS Subtly Redefines the Landscape of Workplace </w:t>
        </w:r>
        <w:r>
          <w:rPr>
            <w:color w:val="F5821F"/>
            <w:sz w:val="19"/>
          </w:rPr>
          <w:t>Religious</w:t>
        </w:r>
      </w:hyperlink>
      <w:r>
        <w:rPr>
          <w:color w:val="F5821F"/>
          <w:sz w:val="19"/>
        </w:rPr>
        <w:t> </w:t>
      </w:r>
      <w:hyperlink r:id="rId16">
        <w:r>
          <w:rPr>
            <w:color w:val="F5821F"/>
            <w:sz w:val="19"/>
          </w:rPr>
          <w:t>Accommodations,”</w:t>
        </w:r>
      </w:hyperlink>
      <w:r>
        <w:rPr>
          <w:color w:val="F5821F"/>
          <w:sz w:val="19"/>
        </w:rPr>
        <w:t> </w:t>
      </w:r>
      <w:hyperlink r:id="rId16">
        <w:r>
          <w:rPr>
            <w:i/>
            <w:color w:val="F5821F"/>
            <w:sz w:val="20"/>
          </w:rPr>
          <w:t>HR Daily Advisor</w:t>
        </w:r>
      </w:hyperlink>
      <w:hyperlink r:id="rId16">
        <w:r>
          <w:rPr>
            <w:color w:val="F5821F"/>
            <w:sz w:val="19"/>
          </w:rPr>
          <w:t>, August 23, 2023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8" w:after="0"/>
        <w:ind w:left="99" w:right="1245" w:firstLine="0"/>
        <w:jc w:val="left"/>
        <w:rPr>
          <w:sz w:val="19"/>
        </w:rPr>
      </w:pPr>
      <w:r>
        <w:rPr>
          <w:color w:val="6E6158"/>
          <w:sz w:val="19"/>
        </w:rPr>
        <w:t>Featuring, “Pay Transparency Backlash: the Harm of Reluctant Compliance,” </w:t>
      </w:r>
      <w:r>
        <w:rPr>
          <w:color w:val="6E6158"/>
          <w:sz w:val="19"/>
        </w:rPr>
        <w:t>BioSpace, February 27,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720" w:firstLine="0"/>
        <w:jc w:val="left"/>
        <w:rPr>
          <w:sz w:val="19"/>
        </w:rPr>
      </w:pPr>
      <w:r>
        <w:rPr>
          <w:color w:val="6E6158"/>
          <w:sz w:val="19"/>
        </w:rPr>
        <w:t>Featuring, “How Small Firms Can Trim The Burden Of Administrative Work,” Law360, November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23, 2022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054" w:firstLine="0"/>
        <w:jc w:val="left"/>
        <w:rPr>
          <w:sz w:val="19"/>
        </w:rPr>
      </w:pPr>
      <w:hyperlink r:id="rId17">
        <w:r>
          <w:rPr>
            <w:color w:val="F5821F"/>
            <w:sz w:val="19"/>
          </w:rPr>
          <w:t>Interview, “Don’t Be Afraid To Say ‘YES’ To Opportunities That Are Outside Of Your Comfort</w:t>
        </w:r>
      </w:hyperlink>
      <w:r>
        <w:rPr>
          <w:color w:val="F5821F"/>
          <w:sz w:val="19"/>
        </w:rPr>
        <w:t> </w:t>
      </w:r>
      <w:hyperlink r:id="rId17">
        <w:r>
          <w:rPr>
            <w:color w:val="F5821F"/>
            <w:sz w:val="19"/>
          </w:rPr>
          <w:t>Zone,” Fennemore Blog, October 21, 2022</w:t>
        </w:r>
      </w:hyperlink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Chair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Agribusiness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863" w:firstLine="0"/>
        <w:jc w:val="left"/>
        <w:rPr>
          <w:sz w:val="19"/>
        </w:rPr>
      </w:pPr>
      <w:r>
        <w:rPr>
          <w:color w:val="6E6158"/>
          <w:sz w:val="19"/>
        </w:rPr>
        <w:t>Past Vice-Chair of Programs of the Agribusiness Committee, Business Law Section, California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Lawyers Association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Central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seattle/" TargetMode="External"/><Relationship Id="rId11" Type="http://schemas.openxmlformats.org/officeDocument/2006/relationships/hyperlink" Target="mailto:eobrien@fennemorelaw.com" TargetMode="External"/><Relationship Id="rId12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3" Type="http://schemas.openxmlformats.org/officeDocument/2006/relationships/hyperlink" Target="https://www.fennemorelaw.com/new-year-new-rules-key-california-employment-law-updates-for-2026/" TargetMode="External"/><Relationship Id="rId14" Type="http://schemas.openxmlformats.org/officeDocument/2006/relationships/hyperlink" Target="https://www.fennemorelaw.com/stay-or-pay-no-more-californias-new-limits-on-training-and-retention-agreement-payback/" TargetMode="External"/><Relationship Id="rId15" Type="http://schemas.openxmlformats.org/officeDocument/2006/relationships/hyperlink" Target="https://mailchi.mp/fennemorelaw/fennmore-general-elections-federal-and-state-update-dont-let-it-surprise-you-15829195?e=c7a081f66a" TargetMode="External"/><Relationship Id="rId16" Type="http://schemas.openxmlformats.org/officeDocument/2006/relationships/hyperlink" Target="https://hrdailyadvisor.blr.com/2023/08/23/scotus-subtly-redefines-the-landscape-of-workplace-religious-accommodations/" TargetMode="External"/><Relationship Id="rId17" Type="http://schemas.openxmlformats.org/officeDocument/2006/relationships/hyperlink" Target="https://www.fennemorelaw.com/dont-be-afraid-to-say-yes-to-opportunities-that-are-outside-of-your-comfort-zone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 O'Brien - Fennemore</dc:title>
  <dcterms:created xsi:type="dcterms:W3CDTF">2026-06-05T13:42:12Z</dcterms:created>
  <dcterms:modified xsi:type="dcterms:W3CDTF">2026-06-05T13:42:12Z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