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mmaSargent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86112" y="1369338"/>
                            <a:ext cx="193802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020" h="320675">
                                <a:moveTo>
                                  <a:pt x="193774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37740" y="320382"/>
                                </a:lnTo>
                                <a:lnTo>
                                  <a:pt x="1937740" y="315214"/>
                                </a:lnTo>
                                <a:close/>
                              </a:path>
                              <a:path w="1938020" h="320675">
                                <a:moveTo>
                                  <a:pt x="1937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37740" y="5168"/>
                                </a:lnTo>
                                <a:lnTo>
                                  <a:pt x="1937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85226" y="763308"/>
                            <a:ext cx="195008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EMMA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SARGENT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27776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303.764.3729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05403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90708" y="2226505"/>
                            <a:ext cx="15392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esargent@fennemorelaw.com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EmmaSargent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83;top:-2501;width:3052;height:505" id="docshape5" coordorigin="6984,-2500" coordsize="3052,505" path="m10035,-2004l6984,-2004,6984,-1996,10035,-1996,10035,-2004xm10035,-2500l6984,-2500,6984,-2492,10035,-2492,10035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82;top:-3455;width:3071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EMMA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SARGENT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49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303.764.3729</w:t>
                        </w:r>
                      </w:p>
                    </w:txbxContent>
                  </v:textbox>
                  <w10:wrap type="none"/>
                </v:shape>
                <v:shape style="position:absolute;left:8746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305;top:-1151;width:2424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esargent@fennemorelaw.com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EMMA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SARGENT</w:t>
      </w:r>
    </w:p>
    <w:p>
      <w:pPr>
        <w:pStyle w:val="BodyText"/>
        <w:spacing w:line="302" w:lineRule="auto" w:before="147"/>
        <w:ind w:left="99"/>
      </w:pPr>
      <w:r>
        <w:rPr>
          <w:color w:val="6E6158"/>
        </w:rPr>
        <w:t>Emma Sargent is an Associate in Fennemore’s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group, helping clients with all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matters.</w:t>
      </w:r>
    </w:p>
    <w:p>
      <w:pPr>
        <w:pStyle w:val="BodyText"/>
        <w:spacing w:line="295" w:lineRule="auto" w:before="186"/>
        <w:ind w:left="99" w:right="304"/>
      </w:pPr>
      <w:r>
        <w:rPr>
          <w:color w:val="6E6158"/>
        </w:rPr>
        <w:t>Prior to joining the firm, Emma was a Judicial Law Clerk to the Honorable Charlotte N. Sweeney</w:t>
      </w:r>
      <w:r>
        <w:rPr>
          <w:color w:val="6E6158"/>
          <w:spacing w:val="80"/>
        </w:rPr>
        <w:t> </w:t>
      </w:r>
      <w:r>
        <w:rPr>
          <w:color w:val="6E6158"/>
        </w:rPr>
        <w:t>at the United States District Court, District of Colorado. There, she gained valuable insight into</w:t>
      </w:r>
      <w:r>
        <w:rPr>
          <w:color w:val="6E6158"/>
          <w:spacing w:val="80"/>
        </w:rPr>
        <w:t> </w:t>
      </w:r>
      <w:r>
        <w:rPr>
          <w:color w:val="6E6158"/>
        </w:rPr>
        <w:t>civil rights, contract disputes, insurance, and other areas. Emma also has experience in</w:t>
      </w:r>
      <w:r>
        <w:rPr>
          <w:color w:val="6E6158"/>
          <w:spacing w:val="40"/>
        </w:rPr>
        <w:t> </w:t>
      </w:r>
      <w:r>
        <w:rPr>
          <w:color w:val="6E6158"/>
        </w:rPr>
        <w:t>commercial litigation and employment law.</w:t>
      </w:r>
    </w:p>
    <w:p>
      <w:pPr>
        <w:pStyle w:val="BodyText"/>
        <w:spacing w:line="292" w:lineRule="auto" w:before="197"/>
        <w:ind w:left="99" w:right="390"/>
      </w:pPr>
      <w:r>
        <w:rPr>
          <w:color w:val="6E6158"/>
        </w:rPr>
        <w:t>Emma earned her law degree at the University of Colorado Law School, where she served on</w:t>
      </w:r>
      <w:r>
        <w:rPr>
          <w:color w:val="6E6158"/>
          <w:spacing w:val="40"/>
        </w:rPr>
        <w:t> </w:t>
      </w:r>
      <w:r>
        <w:rPr>
          <w:color w:val="6E6158"/>
        </w:rPr>
        <w:t>law</w:t>
      </w:r>
      <w:r>
        <w:rPr>
          <w:color w:val="6E6158"/>
          <w:spacing w:val="20"/>
        </w:rPr>
        <w:t> </w:t>
      </w:r>
      <w:r>
        <w:rPr>
          <w:color w:val="6E6158"/>
        </w:rPr>
        <w:t>review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moot</w:t>
      </w:r>
      <w:r>
        <w:rPr>
          <w:color w:val="6E6158"/>
          <w:spacing w:val="20"/>
        </w:rPr>
        <w:t> </w:t>
      </w:r>
      <w:r>
        <w:rPr>
          <w:color w:val="6E6158"/>
        </w:rPr>
        <w:t>court,</w:t>
      </w:r>
      <w:r>
        <w:rPr>
          <w:color w:val="6E6158"/>
          <w:spacing w:val="20"/>
        </w:rPr>
        <w:t> </w:t>
      </w:r>
      <w:r>
        <w:rPr>
          <w:color w:val="6E6158"/>
        </w:rPr>
        <w:t>externed</w:t>
      </w:r>
      <w:r>
        <w:rPr>
          <w:color w:val="6E6158"/>
          <w:spacing w:val="20"/>
        </w:rPr>
        <w:t> </w:t>
      </w:r>
      <w:r>
        <w:rPr>
          <w:color w:val="6E6158"/>
        </w:rPr>
        <w:t>for</w:t>
      </w:r>
      <w:r>
        <w:rPr>
          <w:color w:val="6E6158"/>
          <w:spacing w:val="20"/>
        </w:rPr>
        <w:t> </w:t>
      </w:r>
      <w:r>
        <w:rPr>
          <w:color w:val="6E6158"/>
        </w:rPr>
        <w:t>multiple</w:t>
      </w:r>
      <w:r>
        <w:rPr>
          <w:color w:val="6E6158"/>
          <w:spacing w:val="20"/>
        </w:rPr>
        <w:t> </w:t>
      </w:r>
      <w:r>
        <w:rPr>
          <w:color w:val="6E6158"/>
        </w:rPr>
        <w:t>judges,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interned</w:t>
      </w:r>
      <w:r>
        <w:rPr>
          <w:color w:val="6E6158"/>
          <w:spacing w:val="20"/>
        </w:rPr>
        <w:t> </w:t>
      </w:r>
      <w:r>
        <w:rPr>
          <w:color w:val="6E6158"/>
        </w:rPr>
        <w:t>at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law</w:t>
      </w:r>
      <w:r>
        <w:rPr>
          <w:color w:val="6E6158"/>
          <w:spacing w:val="20"/>
        </w:rPr>
        <w:t> </w:t>
      </w:r>
      <w:r>
        <w:rPr>
          <w:color w:val="6E6158"/>
        </w:rPr>
        <w:t>firm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</w:p>
    <w:p>
      <w:pPr>
        <w:pStyle w:val="BodyText"/>
        <w:spacing w:line="292" w:lineRule="auto" w:before="9"/>
        <w:ind w:left="99"/>
      </w:pPr>
      <w:r>
        <w:rPr>
          <w:color w:val="6E6158"/>
        </w:rPr>
        <w:t>Denver City Attorneys Office. Prior to law school, she worked as a policy analyst for a health care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nonprofit.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Colorado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School,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55"/>
        <w:ind w:left="343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line="420" w:lineRule="auto" w:before="174"/>
        <w:ind w:left="343" w:right="3825"/>
      </w:pPr>
      <w:r>
        <w:rPr>
          <w:color w:val="6E6158"/>
        </w:rPr>
        <w:t>Associate Editor, University of Colorado Law </w:t>
      </w:r>
      <w:r>
        <w:rPr>
          <w:color w:val="6E6158"/>
        </w:rPr>
        <w:t>Review Moot Court Division of Barrister’s Council</w:t>
      </w:r>
    </w:p>
    <w:p>
      <w:pPr>
        <w:spacing w:line="234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Colorado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College,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9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 w:before="1"/>
        <w:ind w:left="99"/>
      </w:pPr>
      <w:r>
        <w:rPr>
          <w:color w:val="6E6158"/>
        </w:rPr>
        <w:t>Note, Boulder is for People: Zoning Reform and the Fight for Affordable Housing, 94 COLO. L. REV.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(2023)</w:t>
      </w:r>
    </w:p>
    <w:p>
      <w:pPr>
        <w:pStyle w:val="BodyText"/>
        <w:spacing w:before="12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4302"/>
      </w:pPr>
      <w:r>
        <w:rPr>
          <w:color w:val="6E6158"/>
        </w:rPr>
        <w:t>Member, Colorado Women’s Bar </w:t>
      </w:r>
      <w:r>
        <w:rPr>
          <w:color w:val="6E6158"/>
        </w:rPr>
        <w:t>Association Member, Denver Bar Association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Spanish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esargent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 Sargent - Fennemore</dc:title>
  <dcterms:created xsi:type="dcterms:W3CDTF">2026-06-12T09:43:38Z</dcterms:created>
  <dcterms:modified xsi:type="dcterms:W3CDTF">2026-06-12T09:43:38Z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