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nrique Schaerer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1113" y="763308"/>
                            <a:ext cx="12579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ENRIQUE SCHAERER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3380" y="2603719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60673" y="2975766"/>
                            <a:ext cx="15989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eschaerer@fennemorelaw.com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Enrique Schaerer92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26;top:-4635;width:198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ENRIQUE SCHAERER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2477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702.692.8013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8302;top:-1737;width:4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702.692.8013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258;top:-1151;width:251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eschaerer@fennemorelaw.com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ENRIQUE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SCHAERER</w:t>
      </w:r>
    </w:p>
    <w:p>
      <w:pPr>
        <w:pStyle w:val="BodyText"/>
        <w:spacing w:line="295" w:lineRule="auto" w:before="147"/>
        <w:ind w:left="99" w:right="264"/>
      </w:pPr>
      <w:r>
        <w:rPr>
          <w:color w:val="6E6158"/>
        </w:rPr>
        <w:t>Enrique Schaerer is an Of Counsel attorney who works in our Business Litigation and Estate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groups from our Las Vegas office. His practice focuses on business and commercial matters, contract disputes, trust-and-estate litigation, employment cases, and</w:t>
      </w:r>
      <w:r>
        <w:rPr>
          <w:color w:val="6E6158"/>
          <w:spacing w:val="40"/>
        </w:rPr>
        <w:t> </w:t>
      </w:r>
      <w:r>
        <w:rPr>
          <w:color w:val="6E6158"/>
        </w:rPr>
        <w:t>criminal defense and investigations. Enrique has represented clients on high-profile, high-</w:t>
      </w:r>
      <w:r>
        <w:rPr>
          <w:color w:val="6E6158"/>
        </w:rPr>
        <w:t>stakes</w:t>
      </w:r>
      <w:r>
        <w:rPr>
          <w:color w:val="6E6158"/>
          <w:spacing w:val="40"/>
        </w:rPr>
        <w:t> </w:t>
      </w:r>
      <w:r>
        <w:rPr>
          <w:color w:val="6E6158"/>
        </w:rPr>
        <w:t>cases in state and federal courts in Arizona, California, and Nevada.</w:t>
      </w:r>
    </w:p>
    <w:p>
      <w:pPr>
        <w:pStyle w:val="BodyText"/>
        <w:spacing w:line="295" w:lineRule="auto" w:before="195"/>
        <w:ind w:left="99" w:right="264"/>
      </w:pPr>
      <w:r>
        <w:rPr>
          <w:color w:val="6E6158"/>
        </w:rPr>
        <w:t>A skilled trial lawyer and appellate advocate, Enrique believes clients are best served by a</w:t>
      </w:r>
      <w:r>
        <w:rPr>
          <w:color w:val="6E6158"/>
          <w:spacing w:val="40"/>
        </w:rPr>
        <w:t> </w:t>
      </w:r>
      <w:r>
        <w:rPr>
          <w:color w:val="6E6158"/>
        </w:rPr>
        <w:t>comprehensive, big-picture strategy—even at the earliest stages of a case. Previously, he </w:t>
      </w:r>
      <w:r>
        <w:rPr>
          <w:color w:val="6E6158"/>
        </w:rPr>
        <w:t>served</w:t>
      </w:r>
      <w:r>
        <w:rPr>
          <w:color w:val="6E6158"/>
          <w:spacing w:val="40"/>
        </w:rPr>
        <w:t> </w:t>
      </w:r>
      <w:r>
        <w:rPr>
          <w:color w:val="6E6158"/>
        </w:rPr>
        <w:t>as a criminal prosecutor and tried dozens of misdemeanor and felony cases. He has briefed and</w:t>
      </w:r>
      <w:r>
        <w:rPr>
          <w:color w:val="6E6158"/>
          <w:spacing w:val="40"/>
        </w:rPr>
        <w:t> </w:t>
      </w:r>
      <w:r>
        <w:rPr>
          <w:color w:val="6E6158"/>
        </w:rPr>
        <w:t>argued civil and criminal issues before various courts, including the U.S. Supreme Court,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Court of Appeals, and the Nevada Supreme Court.</w:t>
      </w:r>
    </w:p>
    <w:p>
      <w:pPr>
        <w:pStyle w:val="BodyText"/>
        <w:spacing w:line="292" w:lineRule="auto" w:before="203"/>
        <w:ind w:left="99" w:right="416"/>
      </w:pPr>
      <w:r>
        <w:rPr>
          <w:color w:val="6E6158"/>
        </w:rPr>
        <w:t>From 2008-2009, he served as a judicial law clerk for the Honorable James V. Selna of the 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Central District of California. From 2009-2010, he served as a judicial law</w:t>
      </w:r>
      <w:r>
        <w:rPr>
          <w:color w:val="6E6158"/>
          <w:spacing w:val="40"/>
        </w:rPr>
        <w:t> </w:t>
      </w:r>
      <w:r>
        <w:rPr>
          <w:color w:val="6E6158"/>
        </w:rPr>
        <w:t>clerk for the Honorable Carlos T. Bea of the U.S. Court of Appeals for the Ninth Circuit.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J.D.,</w:t>
      </w:r>
      <w:r>
        <w:rPr>
          <w:color w:val="6E6158"/>
          <w:spacing w:val="2"/>
        </w:rPr>
        <w:t> </w:t>
      </w:r>
      <w:r>
        <w:rPr>
          <w:color w:val="6E6158"/>
        </w:rPr>
        <w:t>Yale</w:t>
      </w:r>
      <w:r>
        <w:rPr>
          <w:color w:val="6E6158"/>
          <w:spacing w:val="2"/>
        </w:rPr>
        <w:t> </w:t>
      </w:r>
      <w:r>
        <w:rPr>
          <w:color w:val="6E6158"/>
        </w:rPr>
        <w:t>Law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School</w:t>
      </w:r>
    </w:p>
    <w:p>
      <w:pPr>
        <w:spacing w:line="408" w:lineRule="auto" w:before="157"/>
        <w:ind w:left="99" w:right="5125" w:firstLine="0"/>
        <w:jc w:val="left"/>
        <w:rPr>
          <w:i/>
          <w:sz w:val="20"/>
        </w:rPr>
      </w:pPr>
      <w:r>
        <w:rPr>
          <w:color w:val="6E6158"/>
          <w:sz w:val="19"/>
        </w:rPr>
        <w:t>Potter Stewart Prize, Moot Court </w:t>
      </w:r>
      <w:r>
        <w:rPr>
          <w:color w:val="6E6158"/>
          <w:sz w:val="19"/>
        </w:rPr>
        <w:t>Winner Senior Editor, </w:t>
      </w:r>
      <w:r>
        <w:rPr>
          <w:i/>
          <w:color w:val="6E6158"/>
          <w:sz w:val="20"/>
        </w:rPr>
        <w:t>Yale Law Journal</w:t>
      </w:r>
    </w:p>
    <w:p>
      <w:pPr>
        <w:spacing w:line="236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Notre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Dame,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7" w:lineRule="auto" w:before="148"/>
        <w:ind w:left="99" w:right="5995"/>
      </w:pPr>
      <w:r>
        <w:rPr>
          <w:color w:val="6E6158"/>
        </w:rPr>
        <w:t>Valedictorian of</w:t>
      </w:r>
      <w:r>
        <w:rPr>
          <w:color w:val="6E6158"/>
          <w:spacing w:val="40"/>
        </w:rPr>
        <w:t> </w:t>
      </w:r>
      <w:r>
        <w:rPr>
          <w:color w:val="6E6158"/>
        </w:rPr>
        <w:t>Class of </w:t>
      </w:r>
      <w:r>
        <w:rPr>
          <w:color w:val="6E6158"/>
        </w:rPr>
        <w:t>2005 Helen Kellogg Prize</w:t>
      </w:r>
    </w:p>
    <w:p>
      <w:pPr>
        <w:pStyle w:val="BodyText"/>
        <w:spacing w:line="420" w:lineRule="auto"/>
        <w:ind w:left="99" w:right="6949"/>
      </w:pPr>
      <w:r>
        <w:rPr>
          <w:color w:val="6E6158"/>
        </w:rPr>
        <w:t>Herman Crown </w:t>
      </w:r>
      <w:r>
        <w:rPr>
          <w:color w:val="6E6158"/>
        </w:rPr>
        <w:t>Award Phi Beta Kappa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949"/>
      </w:pPr>
      <w:r>
        <w:rPr>
          <w:color w:val="6E6158"/>
        </w:rPr>
        <w:t>Business Litigation 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264"/>
      </w:pPr>
      <w:r>
        <w:rPr>
          <w:color w:val="6E6158"/>
        </w:rPr>
        <w:t>Advised and counseled on legal protections under Nevada law for spendthrift trusts with </w:t>
      </w:r>
      <w:r>
        <w:rPr>
          <w:color w:val="6E6158"/>
        </w:rPr>
        <w:t>assets</w:t>
      </w:r>
      <w:r>
        <w:rPr>
          <w:color w:val="6E6158"/>
          <w:spacing w:val="40"/>
        </w:rPr>
        <w:t> </w:t>
      </w:r>
      <w:r>
        <w:rPr>
          <w:color w:val="6E6158"/>
        </w:rPr>
        <w:t>worth billions of dollars.</w:t>
      </w:r>
    </w:p>
    <w:p>
      <w:pPr>
        <w:pStyle w:val="BodyText"/>
        <w:spacing w:line="302" w:lineRule="auto" w:before="124"/>
        <w:ind w:left="99" w:right="217"/>
      </w:pPr>
      <w:r>
        <w:rPr>
          <w:color w:val="6E6158"/>
        </w:rPr>
        <w:t>Crafted complex legal argument that helped settle multi-million-dollar dispute over </w:t>
      </w:r>
      <w:r>
        <w:rPr>
          <w:color w:val="6E6158"/>
        </w:rPr>
        <w:t>holographic</w:t>
      </w:r>
      <w:r>
        <w:rPr>
          <w:color w:val="6E6158"/>
          <w:spacing w:val="40"/>
        </w:rPr>
        <w:t> </w:t>
      </w:r>
      <w:r>
        <w:rPr>
          <w:color w:val="6E6158"/>
        </w:rPr>
        <w:t>will on favorable terms for prestigious out-of-state university.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Exposed fabricated claims by plaintiff that resulted in complete dismissal of federal lawsuit with</w:t>
      </w:r>
      <w:r>
        <w:rPr>
          <w:color w:val="6E6158"/>
          <w:spacing w:val="40"/>
        </w:rPr>
        <w:t> </w:t>
      </w:r>
      <w:r>
        <w:rPr>
          <w:color w:val="6E6158"/>
        </w:rPr>
        <w:t>serious allegations against client under quasi-criminal, sex-trafficking law.</w:t>
      </w:r>
    </w:p>
    <w:p>
      <w:pPr>
        <w:pStyle w:val="BodyText"/>
        <w:spacing w:line="427" w:lineRule="auto" w:before="124"/>
        <w:ind w:left="99"/>
      </w:pPr>
      <w:r>
        <w:rPr>
          <w:color w:val="6E6158"/>
        </w:rPr>
        <w:t>Spearheaded litigation in probate/guardianship cases with 3/4 of a billion dollars in trust at stake.</w:t>
      </w:r>
      <w:r>
        <w:rPr>
          <w:color w:val="6E6158"/>
          <w:spacing w:val="40"/>
        </w:rPr>
        <w:t> </w:t>
      </w:r>
      <w:r>
        <w:rPr>
          <w:color w:val="6E6158"/>
        </w:rPr>
        <w:t>Achieved</w:t>
      </w:r>
      <w:r>
        <w:rPr>
          <w:color w:val="6E6158"/>
          <w:spacing w:val="40"/>
        </w:rPr>
        <w:t> </w:t>
      </w:r>
      <w:r>
        <w:rPr>
          <w:color w:val="6E6158"/>
        </w:rPr>
        <w:t>restatement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over</w:t>
      </w:r>
      <w:r>
        <w:rPr>
          <w:color w:val="6E6158"/>
          <w:spacing w:val="40"/>
        </w:rPr>
        <w:t> </w:t>
      </w:r>
      <w:r>
        <w:rPr>
          <w:color w:val="6E6158"/>
        </w:rPr>
        <w:t>allegations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testamentary</w:t>
      </w:r>
      <w:r>
        <w:rPr>
          <w:color w:val="6E6158"/>
          <w:spacing w:val="40"/>
        </w:rPr>
        <w:t> </w:t>
      </w:r>
      <w:r>
        <w:rPr>
          <w:color w:val="6E6158"/>
        </w:rPr>
        <w:t>incapacity/undue</w:t>
      </w:r>
      <w:r>
        <w:rPr>
          <w:color w:val="6E6158"/>
          <w:spacing w:val="40"/>
        </w:rPr>
        <w:t> </w:t>
      </w:r>
      <w:r>
        <w:rPr>
          <w:color w:val="6E6158"/>
        </w:rPr>
        <w:t>influence.</w:t>
      </w:r>
    </w:p>
    <w:p>
      <w:pPr>
        <w:pStyle w:val="BodyText"/>
        <w:spacing w:line="420" w:lineRule="auto"/>
        <w:ind w:left="99" w:right="217"/>
      </w:pPr>
      <w:r>
        <w:rPr>
          <w:color w:val="6E6158"/>
        </w:rPr>
        <w:t>Achieved</w:t>
      </w:r>
      <w:r>
        <w:rPr>
          <w:color w:val="6E6158"/>
          <w:spacing w:val="33"/>
        </w:rPr>
        <w:t> </w:t>
      </w:r>
      <w:r>
        <w:rPr>
          <w:color w:val="6E6158"/>
        </w:rPr>
        <w:t>removal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personal</w:t>
      </w:r>
      <w:r>
        <w:rPr>
          <w:color w:val="6E6158"/>
          <w:spacing w:val="33"/>
        </w:rPr>
        <w:t> </w:t>
      </w:r>
      <w:r>
        <w:rPr>
          <w:color w:val="6E6158"/>
        </w:rPr>
        <w:t>representative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estate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successor</w:t>
      </w:r>
      <w:r>
        <w:rPr>
          <w:color w:val="6E6158"/>
          <w:spacing w:val="33"/>
        </w:rPr>
        <w:t> </w:t>
      </w:r>
      <w:r>
        <w:rPr>
          <w:color w:val="6E6158"/>
        </w:rPr>
        <w:t>trustee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trust. Achieved trial verdict for damages and order for company to recover assets from exmanager.</w:t>
      </w:r>
      <w:r>
        <w:rPr>
          <w:color w:val="6E6158"/>
          <w:spacing w:val="40"/>
        </w:rPr>
        <w:t> </w:t>
      </w:r>
      <w:r>
        <w:rPr>
          <w:color w:val="6E6158"/>
        </w:rPr>
        <w:t>Achieved</w:t>
      </w:r>
      <w:r>
        <w:rPr>
          <w:color w:val="6E6158"/>
          <w:spacing w:val="30"/>
        </w:rPr>
        <w:t> </w:t>
      </w:r>
      <w:r>
        <w:rPr>
          <w:color w:val="6E6158"/>
        </w:rPr>
        <w:t>arbitration</w:t>
      </w:r>
      <w:r>
        <w:rPr>
          <w:color w:val="6E6158"/>
          <w:spacing w:val="30"/>
        </w:rPr>
        <w:t> </w:t>
      </w:r>
      <w:r>
        <w:rPr>
          <w:color w:val="6E6158"/>
        </w:rPr>
        <w:t>award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police</w:t>
      </w:r>
      <w:r>
        <w:rPr>
          <w:color w:val="6E6158"/>
          <w:spacing w:val="30"/>
        </w:rPr>
        <w:t> </w:t>
      </w:r>
      <w:r>
        <w:rPr>
          <w:color w:val="6E6158"/>
        </w:rPr>
        <w:t>department</w:t>
      </w:r>
      <w:r>
        <w:rPr>
          <w:color w:val="6E6158"/>
          <w:spacing w:val="30"/>
        </w:rPr>
        <w:t> </w:t>
      </w:r>
      <w:r>
        <w:rPr>
          <w:color w:val="6E6158"/>
        </w:rPr>
        <w:t>had</w:t>
      </w:r>
      <w:r>
        <w:rPr>
          <w:color w:val="6E6158"/>
          <w:spacing w:val="30"/>
        </w:rPr>
        <w:t> </w:t>
      </w:r>
      <w:r>
        <w:rPr>
          <w:color w:val="6E6158"/>
        </w:rPr>
        <w:t>just</w:t>
      </w:r>
      <w:r>
        <w:rPr>
          <w:color w:val="6E6158"/>
          <w:spacing w:val="30"/>
        </w:rPr>
        <w:t> </w:t>
      </w:r>
      <w:r>
        <w:rPr>
          <w:color w:val="6E6158"/>
        </w:rPr>
        <w:t>cause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fire</w:t>
      </w:r>
      <w:r>
        <w:rPr>
          <w:color w:val="6E6158"/>
          <w:spacing w:val="30"/>
        </w:rPr>
        <w:t> </w:t>
      </w:r>
      <w:r>
        <w:rPr>
          <w:color w:val="6E6158"/>
        </w:rPr>
        <w:t>police</w:t>
      </w:r>
      <w:r>
        <w:rPr>
          <w:color w:val="6E6158"/>
          <w:spacing w:val="30"/>
        </w:rPr>
        <w:t> </w:t>
      </w:r>
      <w:r>
        <w:rPr>
          <w:color w:val="6E6158"/>
        </w:rPr>
        <w:t>officer.</w:t>
      </w:r>
    </w:p>
    <w:p>
      <w:pPr>
        <w:pStyle w:val="BodyText"/>
        <w:spacing w:line="420" w:lineRule="auto"/>
        <w:ind w:left="99" w:right="770"/>
        <w:jc w:val="both"/>
      </w:pPr>
      <w:r>
        <w:rPr>
          <w:color w:val="6E6158"/>
        </w:rPr>
        <w:t>Achieved order issuing pretrial writ of habeas corpus and dismissing felony perjury charge. Achieved favorable settlement in mediation of federal employment discrimination </w:t>
      </w:r>
      <w:r>
        <w:rPr>
          <w:color w:val="6E6158"/>
        </w:rPr>
        <w:t>claims. Deposed</w:t>
      </w:r>
      <w:r>
        <w:rPr>
          <w:color w:val="6E6158"/>
          <w:spacing w:val="29"/>
        </w:rPr>
        <w:t> </w:t>
      </w:r>
      <w:r>
        <w:rPr>
          <w:color w:val="6E6158"/>
        </w:rPr>
        <w:t>expert</w:t>
      </w:r>
      <w:r>
        <w:rPr>
          <w:color w:val="6E6158"/>
          <w:spacing w:val="29"/>
        </w:rPr>
        <w:t> </w:t>
      </w:r>
      <w:r>
        <w:rPr>
          <w:color w:val="6E6158"/>
        </w:rPr>
        <w:t>witness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helped</w:t>
      </w:r>
      <w:r>
        <w:rPr>
          <w:color w:val="6E6158"/>
          <w:spacing w:val="29"/>
        </w:rPr>
        <w:t> </w:t>
      </w:r>
      <w:r>
        <w:rPr>
          <w:color w:val="6E6158"/>
        </w:rPr>
        <w:t>settle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contest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hundreds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millions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dollars.</w:t>
      </w:r>
    </w:p>
    <w:p>
      <w:pPr>
        <w:pStyle w:val="BodyText"/>
        <w:spacing w:line="231" w:lineRule="exact"/>
        <w:ind w:left="99"/>
        <w:jc w:val="both"/>
      </w:pPr>
      <w:r>
        <w:rPr>
          <w:color w:val="6E6158"/>
        </w:rPr>
        <w:t>Deposed</w:t>
      </w:r>
      <w:r>
        <w:rPr>
          <w:color w:val="6E6158"/>
          <w:spacing w:val="13"/>
        </w:rPr>
        <w:t> </w:t>
      </w:r>
      <w:r>
        <w:rPr>
          <w:color w:val="6E6158"/>
        </w:rPr>
        <w:t>party</w:t>
      </w:r>
      <w:r>
        <w:rPr>
          <w:color w:val="6E6158"/>
          <w:spacing w:val="13"/>
        </w:rPr>
        <w:t> </w:t>
      </w:r>
      <w:r>
        <w:rPr>
          <w:color w:val="6E6158"/>
        </w:rPr>
        <w:t>opponent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accountant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3"/>
        </w:rPr>
        <w:t> </w:t>
      </w:r>
      <w:r>
        <w:rPr>
          <w:color w:val="6E6158"/>
        </w:rPr>
        <w:t>service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agreement.</w:t>
      </w:r>
    </w:p>
    <w:p>
      <w:pPr>
        <w:pStyle w:val="BodyText"/>
        <w:spacing w:line="292" w:lineRule="auto" w:before="180"/>
        <w:ind w:left="99"/>
      </w:pPr>
      <w:r>
        <w:rPr>
          <w:color w:val="6E6158"/>
        </w:rPr>
        <w:t>Negotiated favorable settlement of trust contest of millions of dollars for prestigious out-of-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university.</w:t>
      </w:r>
    </w:p>
    <w:p>
      <w:pPr>
        <w:pStyle w:val="BodyText"/>
        <w:spacing w:before="123"/>
        <w:ind w:left="99"/>
        <w:jc w:val="both"/>
      </w:pPr>
      <w:r>
        <w:rPr>
          <w:color w:val="6E6158"/>
        </w:rPr>
        <w:t>Removed</w:t>
      </w:r>
      <w:r>
        <w:rPr>
          <w:color w:val="6E6158"/>
          <w:spacing w:val="10"/>
        </w:rPr>
        <w:t> </w:t>
      </w:r>
      <w:r>
        <w:rPr>
          <w:color w:val="6E6158"/>
        </w:rPr>
        <w:t>notice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pendency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had</w:t>
      </w:r>
      <w:r>
        <w:rPr>
          <w:color w:val="6E6158"/>
          <w:spacing w:val="10"/>
        </w:rPr>
        <w:t> </w:t>
      </w:r>
      <w:r>
        <w:rPr>
          <w:color w:val="6E6158"/>
        </w:rPr>
        <w:t>quiet</w:t>
      </w:r>
      <w:r>
        <w:rPr>
          <w:color w:val="6E6158"/>
          <w:spacing w:val="11"/>
        </w:rPr>
        <w:t> </w:t>
      </w:r>
      <w:r>
        <w:rPr>
          <w:color w:val="6E6158"/>
        </w:rPr>
        <w:t>title</w:t>
      </w:r>
      <w:r>
        <w:rPr>
          <w:color w:val="6E6158"/>
          <w:spacing w:val="11"/>
        </w:rPr>
        <w:t> </w:t>
      </w:r>
      <w:r>
        <w:rPr>
          <w:color w:val="6E6158"/>
        </w:rPr>
        <w:t>action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dismissed.</w:t>
      </w:r>
    </w:p>
    <w:p>
      <w:pPr>
        <w:pStyle w:val="BodyText"/>
        <w:spacing w:line="292" w:lineRule="auto" w:before="182"/>
        <w:ind w:left="99" w:right="264"/>
      </w:pPr>
      <w:r>
        <w:rPr>
          <w:color w:val="6E6158"/>
        </w:rPr>
        <w:t>Represented applicants seeking protection orders and defendants charged with </w:t>
      </w:r>
      <w:r>
        <w:rPr>
          <w:color w:val="6E6158"/>
        </w:rPr>
        <w:t>nonviolent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crimes.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Featuring,</w:t>
      </w:r>
      <w:r>
        <w:rPr>
          <w:color w:val="6E6158"/>
          <w:spacing w:val="9"/>
        </w:rPr>
        <w:t> </w:t>
      </w:r>
      <w:r>
        <w:rPr>
          <w:color w:val="6E6158"/>
        </w:rPr>
        <w:t>“On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Move,”</w:t>
      </w:r>
      <w:r>
        <w:rPr>
          <w:color w:val="6E6158"/>
          <w:spacing w:val="10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Press,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spacing w:line="288" w:lineRule="auto" w:before="172"/>
        <w:ind w:left="99" w:right="264" w:firstLine="0"/>
        <w:jc w:val="left"/>
        <w:rPr>
          <w:sz w:val="19"/>
        </w:rPr>
      </w:pPr>
      <w:r>
        <w:rPr>
          <w:i/>
          <w:color w:val="6E6158"/>
          <w:sz w:val="20"/>
        </w:rPr>
        <w:t>Proving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Constitution: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Burdens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Proof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Confrontation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Clause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55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of Richmond Law Review 491, 2021</w:t>
      </w:r>
    </w:p>
    <w:p>
      <w:pPr>
        <w:spacing w:line="297" w:lineRule="auto" w:before="118"/>
        <w:ind w:left="99" w:right="264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What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Heller?: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Originalist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Critique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Justice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Scalia’s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Second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Amendment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Jurisprudence</w:t>
      </w:r>
      <w:r>
        <w:rPr>
          <w:color w:val="6E6158"/>
          <w:spacing w:val="-2"/>
          <w:sz w:val="19"/>
        </w:rPr>
        <w:t>, </w:t>
      </w:r>
      <w:r>
        <w:rPr>
          <w:color w:val="6E6158"/>
          <w:sz w:val="19"/>
        </w:rPr>
        <w:t>82 University of Cincinnati Law Review 795, 2014</w:t>
      </w:r>
    </w:p>
    <w:p>
      <w:pPr>
        <w:spacing w:line="278" w:lineRule="auto" w:before="107"/>
        <w:ind w:left="99" w:right="264" w:firstLine="0"/>
        <w:jc w:val="left"/>
        <w:rPr>
          <w:sz w:val="19"/>
        </w:rPr>
      </w:pPr>
      <w:r>
        <w:rPr>
          <w:i/>
          <w:color w:val="6E6158"/>
          <w:sz w:val="20"/>
        </w:rPr>
        <w:t>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Rose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Any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Other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Name: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Why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Parens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Patriae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Action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Be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“Mass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Action”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under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Class Action Fairness Act of 2005</w:t>
      </w:r>
      <w:r>
        <w:rPr>
          <w:color w:val="6E6158"/>
          <w:sz w:val="19"/>
        </w:rPr>
        <w:t>, 6 N.Y.U. Journal of Legislation &amp; Public Policy 39, 2013</w:t>
      </w:r>
    </w:p>
    <w:p>
      <w:pPr>
        <w:spacing w:after="0" w:line="278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spacing w:line="288" w:lineRule="auto" w:before="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Intragroup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Discrimination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Workplace: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Case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“Race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Plus,”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45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Harvard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Civil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Rights–Civil Liberties Law Review 57, 2010</w:t>
      </w:r>
    </w:p>
    <w:p>
      <w:pPr>
        <w:spacing w:line="288" w:lineRule="auto" w:before="126"/>
        <w:ind w:left="99" w:right="111" w:firstLine="0"/>
        <w:jc w:val="left"/>
        <w:rPr>
          <w:sz w:val="19"/>
        </w:rPr>
      </w:pPr>
      <w:r>
        <w:rPr>
          <w:i/>
          <w:color w:val="6E6158"/>
          <w:sz w:val="20"/>
        </w:rPr>
        <w:t>Liability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Robotics: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International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Perspective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Robots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Animals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Advanced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Robotics,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2010 (co-authored with Richard C. Kelley, Monica Nicolescu, and Micaela Gomez)</w:t>
      </w:r>
    </w:p>
    <w:p>
      <w:pPr>
        <w:spacing w:line="295" w:lineRule="auto" w:before="118"/>
        <w:ind w:left="99" w:right="403" w:firstLine="0"/>
        <w:jc w:val="left"/>
        <w:rPr>
          <w:sz w:val="19"/>
        </w:rPr>
      </w:pPr>
      <w:r>
        <w:rPr>
          <w:i/>
          <w:color w:val="6E6158"/>
          <w:sz w:val="20"/>
        </w:rPr>
        <w:t>Robots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Animals: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Framework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Liability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Responsibility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Human-Robot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Interactions</w:t>
      </w:r>
      <w:r>
        <w:rPr>
          <w:color w:val="6E6158"/>
          <w:sz w:val="19"/>
        </w:rPr>
        <w:t>, Proceedings of the 18th IEEE Symposium on Robot &amp; Human Interactive Communication, </w:t>
      </w:r>
      <w:r>
        <w:rPr>
          <w:color w:val="6E6158"/>
          <w:sz w:val="19"/>
        </w:rPr>
        <w:t>2009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(co-authored with Richard C. Kelley and Monica Nicolescu)</w:t>
      </w:r>
    </w:p>
    <w:p>
      <w:pPr>
        <w:pStyle w:val="BodyText"/>
        <w:spacing w:before="10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1506"/>
      </w:pPr>
      <w:r>
        <w:rPr>
          <w:color w:val="6E6158"/>
        </w:rPr>
        <w:t>Part-Time Olin-Searle Fellow, Federalist Society, UCLA Law School, 2016-</w:t>
      </w:r>
      <w:r>
        <w:rPr>
          <w:color w:val="6E6158"/>
        </w:rPr>
        <w:t>2019 Member, Executive Committee, Yale Law School Association, 2011-2014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Letters</w:t>
      </w:r>
      <w:r>
        <w:rPr>
          <w:color w:val="6E6158"/>
          <w:spacing w:val="11"/>
        </w:rPr>
        <w:t> </w:t>
      </w:r>
      <w:r>
        <w:rPr>
          <w:color w:val="6E6158"/>
        </w:rPr>
        <w:t>Advisory</w:t>
      </w:r>
      <w:r>
        <w:rPr>
          <w:color w:val="6E6158"/>
          <w:spacing w:val="11"/>
        </w:rPr>
        <w:t> </w:t>
      </w:r>
      <w:r>
        <w:rPr>
          <w:color w:val="6E6158"/>
        </w:rPr>
        <w:t>Council,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Notre</w:t>
      </w:r>
      <w:r>
        <w:rPr>
          <w:color w:val="6E6158"/>
          <w:spacing w:val="11"/>
        </w:rPr>
        <w:t> </w:t>
      </w:r>
      <w:r>
        <w:rPr>
          <w:color w:val="6E6158"/>
        </w:rPr>
        <w:t>Dame,</w:t>
      </w:r>
      <w:r>
        <w:rPr>
          <w:color w:val="6E6158"/>
          <w:spacing w:val="11"/>
        </w:rPr>
        <w:t> </w:t>
      </w:r>
      <w:r>
        <w:rPr>
          <w:color w:val="6E6158"/>
        </w:rPr>
        <w:t>2009-</w:t>
      </w:r>
      <w:r>
        <w:rPr>
          <w:color w:val="6E6158"/>
          <w:spacing w:val="-4"/>
        </w:rPr>
        <w:t>2012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3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Central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p>
      <w:pPr>
        <w:pStyle w:val="BodyText"/>
        <w:spacing w:before="174"/>
        <w:ind w:left="99"/>
      </w:pPr>
      <w:r>
        <w:rPr>
          <w:color w:val="6E6158"/>
        </w:rPr>
        <w:t>Italian,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Conversational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https://www.fennemorelaw.com/contact-us/reno/" TargetMode="External"/><Relationship Id="rId11" Type="http://schemas.openxmlformats.org/officeDocument/2006/relationships/hyperlink" Target="mailto:eschaer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Enrique Schaerer - Fennemore</dc:title>
  <dcterms:created xsi:type="dcterms:W3CDTF">2026-06-12T10:03:01Z</dcterms:created>
  <dcterms:modified xsi:type="dcterms:W3CDTF">2026-06-12T10:03:01Z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