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60734" y="1673361"/>
                            <a:ext cx="49631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1598" w:right="0" w:hanging="159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Welcome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largest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 practices in the Southwest and California.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55056" y="968386"/>
                            <a:ext cx="197421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Estate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83;top:2635;width:781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1598" w:right="0" w:hanging="159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Welcome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one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largest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 practices in the Southwest and California.</w:t>
                        </w:r>
                      </w:p>
                    </w:txbxContent>
                  </v:textbox>
                  <w10:wrap type="none"/>
                </v:shape>
                <v:shape style="position:absolute;left:3236;top:1525;width:3109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Estate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Planning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ind w:lef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line="218" w:lineRule="auto" w:before="117"/>
        <w:ind w:left="3527" w:right="72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43686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3527" w:right="72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Stephanie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F.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Tribe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602.916.5325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602.916.5525</w:t>
      </w:r>
    </w:p>
    <w:p>
      <w:pPr>
        <w:spacing w:line="266" w:lineRule="auto" w:before="15"/>
        <w:ind w:left="3527" w:right="494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stribe@fennemorelaw.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231247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ind w:left="0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98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53"/>
        <w:ind w:left="0"/>
        <w:rPr>
          <w:sz w:val="16"/>
        </w:rPr>
      </w:pPr>
    </w:p>
    <w:p>
      <w:pPr>
        <w:spacing w:line="218" w:lineRule="auto" w:before="1"/>
        <w:ind w:left="303" w:right="717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4"/>
        <w:ind w:left="0"/>
        <w:rPr>
          <w:sz w:val="16"/>
        </w:rPr>
      </w:pPr>
    </w:p>
    <w:p>
      <w:pPr>
        <w:spacing w:before="0"/>
        <w:ind w:left="303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23"/>
        <w:ind w:left="0"/>
        <w:rPr>
          <w:sz w:val="16"/>
        </w:rPr>
      </w:pPr>
    </w:p>
    <w:p>
      <w:pPr>
        <w:spacing w:line="191" w:lineRule="exact" w:before="0"/>
        <w:ind w:left="30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03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6"/>
        <w:ind w:left="30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5"/>
        <w:ind w:left="303" w:right="505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7"/>
        <w:ind w:left="297" w:right="618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35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ind w:left="0"/>
        <w:rPr>
          <w:sz w:val="16"/>
        </w:rPr>
      </w:pPr>
    </w:p>
    <w:p>
      <w:pPr>
        <w:spacing w:line="199" w:lineRule="auto" w:before="0"/>
        <w:ind w:left="297" w:right="618" w:firstLine="0"/>
        <w:jc w:val="left"/>
        <w:rPr>
          <w:b/>
          <w:sz w:val="16"/>
        </w:rPr>
      </w:pPr>
      <w:hyperlink r:id="rId19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19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5"/>
        <w:ind w:left="297" w:right="618" w:firstLine="0"/>
        <w:jc w:val="left"/>
        <w:rPr>
          <w:sz w:val="12"/>
        </w:rPr>
      </w:pPr>
      <w:hyperlink r:id="rId20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0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514" w:space="40"/>
            <w:col w:w="2296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67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67"/>
      </w:pPr>
      <w:r>
        <w:rPr>
          <w:color w:val="6E6158"/>
        </w:rPr>
        <w:t>include, presently and historically, Fellows of the </w:t>
      </w:r>
      <w:hyperlink r:id="rId21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1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(Arizona) in estate and trust law and in tax law; adjunct professors;</w:t>
      </w:r>
      <w:r>
        <w:rPr>
          <w:color w:val="6E6158"/>
          <w:spacing w:val="40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for-profit</w:t>
      </w:r>
      <w:r>
        <w:rPr>
          <w:color w:val="6E6158"/>
          <w:spacing w:val="34"/>
        </w:rPr>
        <w:t> </w:t>
      </w:r>
      <w:r>
        <w:rPr>
          <w:color w:val="6E6158"/>
        </w:rPr>
        <w:t>boards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directors,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professional,</w:t>
      </w:r>
      <w:r>
        <w:rPr>
          <w:color w:val="6E6158"/>
          <w:spacing w:val="34"/>
        </w:rPr>
        <w:t> </w:t>
      </w:r>
      <w:r>
        <w:rPr>
          <w:color w:val="6E6158"/>
        </w:rPr>
        <w:t>community,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</w:p>
    <w:p>
      <w:pPr>
        <w:pStyle w:val="BodyText"/>
        <w:spacing w:line="297" w:lineRule="auto" w:before="1"/>
        <w:ind w:right="604"/>
        <w:jc w:val="both"/>
      </w:pPr>
      <w:r>
        <w:rPr>
          <w:color w:val="6E6158"/>
        </w:rPr>
        <w:t>councils and boards. Our attorneys have lectured extensively on estate planning, taxation, and related topics, educating other lawyers, accountants, and professionals locally and throughout the United States.</w:t>
      </w:r>
    </w:p>
    <w:p>
      <w:pPr>
        <w:pStyle w:val="BodyText"/>
        <w:spacing w:before="191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7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8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3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67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  <w:spacing w:before="154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7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 w:before="147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 w:before="147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  <w:spacing w:before="153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67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estate-planning/" TargetMode="External"/><Relationship Id="rId10" Type="http://schemas.openxmlformats.org/officeDocument/2006/relationships/hyperlink" Target="https://www.fennemorelaw.com/services/trusts-estates/" TargetMode="External"/><Relationship Id="rId11" Type="http://schemas.openxmlformats.org/officeDocument/2006/relationships/hyperlink" Target="https://www.fennemorelaw.com/people/attorneys/stephanie-f-tribe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tribe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people/attorneys/judith-y-tang/" TargetMode="External"/><Relationship Id="rId17" Type="http://schemas.openxmlformats.org/officeDocument/2006/relationships/hyperlink" Target="https://www.fennemorelaw.com/contact-us/#oakland" TargetMode="External"/><Relationship Id="rId18" Type="http://schemas.openxmlformats.org/officeDocument/2006/relationships/hyperlink" Target="mailto:jtang@fennemorelaw.com" TargetMode="External"/><Relationship Id="rId19" Type="http://schemas.openxmlformats.org/officeDocument/2006/relationships/hyperlink" Target="https://www.fennemorelaw.com/people/attorneys/kathleen-e-callaway/" TargetMode="External"/><Relationship Id="rId20" Type="http://schemas.openxmlformats.org/officeDocument/2006/relationships/hyperlink" Target="mailto:kcallaway@fennemorelaw.com" TargetMode="External"/><Relationship Id="rId21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- Fennemore</dc:title>
  <dcterms:created xsi:type="dcterms:W3CDTF">2026-06-05T08:54:13Z</dcterms:created>
  <dcterms:modified xsi:type="dcterms:W3CDTF">2026-06-05T08:54:13Z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