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82397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823970"/>
                          <a:chExt cx="6071870" cy="382397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085215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287" w:right="452" w:firstLine="122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practices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industry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segments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casino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gaming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operations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gaming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technology,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grown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United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States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$37.34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billion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$13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billion,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respectively.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74863" y="1585517"/>
                            <a:ext cx="4934585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7"/>
                                <w:ind w:left="0" w:right="18" w:hanging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Our hospitality attorneys advise and represent businesses and trade associations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involved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varied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aspects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$3.4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trillion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hospitality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industry.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670898" y="880542"/>
                            <a:ext cx="274256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Gaming &amp;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Hospitality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01.1pt;mso-position-horizontal-relative:char;mso-position-vertical-relative:line" id="docshapegroup1" coordorigin="0,0" coordsize="9562,602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70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287" w:right="452" w:firstLine="122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practices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support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industry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segments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casino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gaming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operations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gaming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technology,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which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grown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United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States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$37.34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billion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$13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billion,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respectively.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05;top:2496;width:7771;height:825" type="#_x0000_t202" id="docshape6" filled="false" stroked="false">
                  <v:textbox inset="0,0,0,0">
                    <w:txbxContent>
                      <w:p>
                        <w:pPr>
                          <w:spacing w:line="242" w:lineRule="auto" w:before="7"/>
                          <w:ind w:left="0" w:right="18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 hospitality attorneys advise and represent businesses and trade associations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involved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varied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aspects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$3.4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trillion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hospitality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industry.</w:t>
                        </w:r>
                      </w:p>
                    </w:txbxContent>
                  </v:textbox>
                  <w10:wrap type="none"/>
                </v:shape>
                <v:shape style="position:absolute;left:2631;top:1386;width:4319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Gaming &amp;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Hospitality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53"/>
        <w:ind w:left="0"/>
        <w:rPr>
          <w:b/>
          <w:sz w:val="20"/>
        </w:rPr>
      </w:pPr>
    </w:p>
    <w:p>
      <w:pPr>
        <w:spacing w:line="218" w:lineRule="auto" w:before="0"/>
        <w:ind w:left="5856" w:right="2743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-30848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GAMING 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HOSPITALITY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5856" w:right="2743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Dan</w:t>
        </w:r>
        <w:r>
          <w:rPr>
            <w:b/>
            <w:spacing w:val="2"/>
            <w:sz w:val="16"/>
          </w:rPr>
          <w:t> </w:t>
        </w:r>
        <w:r>
          <w:rPr>
            <w:b/>
            <w:sz w:val="16"/>
          </w:rPr>
          <w:t>R.</w:t>
        </w:r>
        <w:r>
          <w:rPr>
            <w:b/>
            <w:spacing w:val="2"/>
            <w:sz w:val="16"/>
          </w:rPr>
          <w:t> </w:t>
        </w:r>
        <w:r>
          <w:rPr>
            <w:b/>
            <w:spacing w:val="-2"/>
            <w:sz w:val="16"/>
          </w:rPr>
          <w:t>Reaser</w:t>
        </w:r>
      </w:hyperlink>
    </w:p>
    <w:p>
      <w:pPr>
        <w:spacing w:line="142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pacing w:val="-4"/>
            <w:sz w:val="12"/>
          </w:rPr>
          <w:t>Reno</w:t>
        </w:r>
      </w:hyperlink>
    </w:p>
    <w:p>
      <w:pPr>
        <w:spacing w:before="15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775.788.2226</w:t>
      </w:r>
    </w:p>
    <w:p>
      <w:pPr>
        <w:spacing w:before="8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775.788.2227</w:t>
      </w:r>
    </w:p>
    <w:p>
      <w:pPr>
        <w:spacing w:line="266" w:lineRule="auto" w:before="16"/>
        <w:ind w:left="5856" w:right="2743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dreaser@fennemorela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7" w:lineRule="auto" w:before="147"/>
        <w:ind w:right="747"/>
      </w:pPr>
      <w:r>
        <w:rPr>
          <w:color w:val="6E6158"/>
        </w:rPr>
        <w:t>Our gaming attorneys have diverse experience in structuring and documenting transactions,</w:t>
      </w:r>
      <w:r>
        <w:rPr>
          <w:color w:val="6E6158"/>
          <w:spacing w:val="40"/>
        </w:rPr>
        <w:t> </w:t>
      </w:r>
      <w:r>
        <w:rPr>
          <w:color w:val="6E6158"/>
        </w:rPr>
        <w:t>and navigating the specialized licensing and regulatory requirements for the development,</w:t>
      </w:r>
      <w:r>
        <w:rPr>
          <w:color w:val="6E6158"/>
          <w:spacing w:val="40"/>
        </w:rPr>
        <w:t> </w:t>
      </w:r>
      <w:r>
        <w:rPr>
          <w:color w:val="6E6158"/>
        </w:rPr>
        <w:t>financing and operation of casino properties. We represent many firms in the industry in corporate formation and governance matters, mergers and acquisitions; public and private</w:t>
      </w:r>
      <w:r>
        <w:rPr>
          <w:color w:val="6E6158"/>
          <w:spacing w:val="40"/>
        </w:rPr>
        <w:t> </w:t>
      </w:r>
      <w:r>
        <w:rPr>
          <w:color w:val="6E6158"/>
        </w:rPr>
        <w:t>equity and debt transactions; and business restructuring and creditors’ rights. Our </w:t>
      </w:r>
      <w:r>
        <w:rPr>
          <w:color w:val="6E6158"/>
        </w:rPr>
        <w:t>government</w:t>
      </w:r>
      <w:r>
        <w:rPr>
          <w:color w:val="6E6158"/>
          <w:spacing w:val="40"/>
        </w:rPr>
        <w:t> </w:t>
      </w:r>
      <w:r>
        <w:rPr>
          <w:color w:val="6E6158"/>
        </w:rPr>
        <w:t>relations attorneys have aided the industry on gambling regulatory issues in local,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 legislative and administrative agency rule-making arenas for decades. We represent</w:t>
      </w:r>
      <w:r>
        <w:rPr>
          <w:color w:val="6E6158"/>
          <w:spacing w:val="40"/>
        </w:rPr>
        <w:t> </w:t>
      </w:r>
      <w:r>
        <w:rPr>
          <w:color w:val="6E6158"/>
        </w:rPr>
        <w:t>regulated businesses in gaming and other tax disputes, administrative contested cases, and</w:t>
      </w:r>
      <w:r>
        <w:rPr>
          <w:color w:val="6E6158"/>
          <w:spacing w:val="40"/>
        </w:rPr>
        <w:t> </w:t>
      </w:r>
      <w:r>
        <w:rPr>
          <w:color w:val="6E6158"/>
        </w:rPr>
        <w:t>litigation unique to the industry.</w:t>
      </w:r>
    </w:p>
    <w:p>
      <w:pPr>
        <w:pStyle w:val="BodyText"/>
        <w:spacing w:line="295" w:lineRule="auto" w:before="183"/>
        <w:ind w:right="438"/>
      </w:pPr>
      <w:r>
        <w:rPr>
          <w:color w:val="6E6158"/>
        </w:rPr>
        <w:t>All of this experience extends to assisting gaming technology companies involved in the design,</w:t>
      </w:r>
      <w:r>
        <w:rPr>
          <w:color w:val="6E6158"/>
          <w:spacing w:val="40"/>
        </w:rPr>
        <w:t> </w:t>
      </w:r>
      <w:r>
        <w:rPr>
          <w:color w:val="6E6158"/>
        </w:rPr>
        <w:t>development, production and deployment of slot machines, interactive and mobile gaming</w:t>
      </w:r>
      <w:r>
        <w:rPr>
          <w:color w:val="6E6158"/>
          <w:spacing w:val="40"/>
        </w:rPr>
        <w:t> </w:t>
      </w:r>
      <w:r>
        <w:rPr>
          <w:color w:val="6E6158"/>
        </w:rPr>
        <w:t>devices and other gaming equipment. Our gaming attorneys have counseled and </w:t>
      </w:r>
      <w:r>
        <w:rPr>
          <w:color w:val="6E6158"/>
        </w:rPr>
        <w:t>represented</w:t>
      </w:r>
      <w:r>
        <w:rPr>
          <w:color w:val="6E6158"/>
          <w:spacing w:val="40"/>
        </w:rPr>
        <w:t> </w:t>
      </w:r>
      <w:r>
        <w:rPr>
          <w:color w:val="6E6158"/>
        </w:rPr>
        <w:t>firms in developing and managing gaming operations on Native American lands and assisting</w:t>
      </w:r>
      <w:r>
        <w:rPr>
          <w:color w:val="6E6158"/>
          <w:spacing w:val="40"/>
        </w:rPr>
        <w:t> </w:t>
      </w:r>
      <w:r>
        <w:rPr>
          <w:color w:val="6E6158"/>
        </w:rPr>
        <w:t>vendors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tribal</w:t>
      </w:r>
      <w:r>
        <w:rPr>
          <w:color w:val="6E6158"/>
          <w:spacing w:val="20"/>
        </w:rPr>
        <w:t> </w:t>
      </w:r>
      <w:r>
        <w:rPr>
          <w:color w:val="6E6158"/>
        </w:rPr>
        <w:t>resort</w:t>
      </w:r>
      <w:r>
        <w:rPr>
          <w:color w:val="6E6158"/>
          <w:spacing w:val="20"/>
        </w:rPr>
        <w:t> </w:t>
      </w:r>
      <w:r>
        <w:rPr>
          <w:color w:val="6E6158"/>
        </w:rPr>
        <w:t>operations.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these</w:t>
      </w:r>
      <w:r>
        <w:rPr>
          <w:color w:val="6E6158"/>
          <w:spacing w:val="20"/>
        </w:rPr>
        <w:t> </w:t>
      </w:r>
      <w:r>
        <w:rPr>
          <w:color w:val="6E6158"/>
        </w:rPr>
        <w:t>efforts,</w:t>
      </w:r>
      <w:r>
        <w:rPr>
          <w:color w:val="6E6158"/>
          <w:spacing w:val="20"/>
        </w:rPr>
        <w:t> </w:t>
      </w:r>
      <w:r>
        <w:rPr>
          <w:color w:val="6E6158"/>
        </w:rPr>
        <w:t>our</w:t>
      </w:r>
      <w:r>
        <w:rPr>
          <w:color w:val="6E6158"/>
          <w:spacing w:val="20"/>
        </w:rPr>
        <w:t> </w:t>
      </w:r>
      <w:r>
        <w:rPr>
          <w:color w:val="6E6158"/>
        </w:rPr>
        <w:t>gaming</w:t>
      </w:r>
      <w:r>
        <w:rPr>
          <w:color w:val="6E6158"/>
          <w:spacing w:val="20"/>
        </w:rPr>
        <w:t> </w:t>
      </w:r>
      <w:r>
        <w:rPr>
          <w:color w:val="6E6158"/>
        </w:rPr>
        <w:t>attorneys</w:t>
      </w:r>
      <w:r>
        <w:rPr>
          <w:color w:val="6E6158"/>
          <w:spacing w:val="20"/>
        </w:rPr>
        <w:t> </w:t>
      </w:r>
      <w:r>
        <w:rPr>
          <w:color w:val="6E6158"/>
        </w:rPr>
        <w:t>have</w:t>
      </w:r>
      <w:r>
        <w:rPr>
          <w:color w:val="6E6158"/>
          <w:spacing w:val="20"/>
        </w:rPr>
        <w:t> </w:t>
      </w:r>
      <w:r>
        <w:rPr>
          <w:color w:val="6E6158"/>
        </w:rPr>
        <w:t>practiced</w:t>
      </w:r>
      <w:r>
        <w:rPr>
          <w:color w:val="6E6158"/>
          <w:spacing w:val="20"/>
        </w:rPr>
        <w:t> </w:t>
      </w:r>
      <w:r>
        <w:rPr>
          <w:color w:val="6E6158"/>
        </w:rPr>
        <w:t>before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740"/>
        <w:jc w:val="both"/>
      </w:pPr>
      <w:r>
        <w:rPr>
          <w:color w:val="6E6158"/>
        </w:rPr>
        <w:t>the </w:t>
      </w:r>
      <w:hyperlink r:id="rId14">
        <w:r>
          <w:rPr>
            <w:color w:val="FF8100"/>
          </w:rPr>
          <w:t>National Indian Gaming Commission</w:t>
        </w:r>
      </w:hyperlink>
      <w:r>
        <w:rPr>
          <w:color w:val="6E6158"/>
        </w:rPr>
        <w:t>, and state and tribal regulatory authorities in </w:t>
      </w:r>
      <w:r>
        <w:rPr>
          <w:color w:val="6E6158"/>
        </w:rPr>
        <w:t>Arizona, California and several other venues.</w:t>
      </w:r>
    </w:p>
    <w:p>
      <w:pPr>
        <w:pStyle w:val="BodyText"/>
        <w:spacing w:before="205"/>
        <w:jc w:val="both"/>
      </w:pP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regularly</w:t>
      </w:r>
      <w:r>
        <w:rPr>
          <w:color w:val="6E6158"/>
          <w:spacing w:val="14"/>
        </w:rPr>
        <w:t> </w:t>
      </w:r>
      <w:r>
        <w:rPr>
          <w:color w:val="6E6158"/>
        </w:rPr>
        <w:t>assist</w:t>
      </w:r>
      <w:r>
        <w:rPr>
          <w:color w:val="6E6158"/>
          <w:spacing w:val="13"/>
        </w:rPr>
        <w:t> </w:t>
      </w:r>
      <w:r>
        <w:rPr>
          <w:color w:val="6E6158"/>
        </w:rPr>
        <w:t>businesses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evaluating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implementing</w:t>
      </w:r>
      <w:r>
        <w:rPr>
          <w:color w:val="6E6158"/>
          <w:spacing w:val="14"/>
        </w:rPr>
        <w:t> </w:t>
      </w:r>
      <w:r>
        <w:rPr>
          <w:color w:val="6E6158"/>
        </w:rPr>
        <w:t>sweepstakes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promotional</w:t>
      </w:r>
    </w:p>
    <w:p>
      <w:pPr>
        <w:pStyle w:val="BodyText"/>
        <w:spacing w:line="292" w:lineRule="auto" w:before="52"/>
        <w:ind w:right="678"/>
        <w:jc w:val="both"/>
      </w:pPr>
      <w:r>
        <w:rPr>
          <w:color w:val="6E6158"/>
        </w:rPr>
        <w:t>contests. Our engagements in this area include multijurisdictional analysis and assistance in </w:t>
      </w:r>
      <w:r>
        <w:rPr>
          <w:color w:val="6E6158"/>
        </w:rPr>
        <w:t>the design of social gaming platforms.</w:t>
      </w:r>
    </w:p>
    <w:p>
      <w:pPr>
        <w:pStyle w:val="BodyText"/>
        <w:spacing w:line="297" w:lineRule="auto" w:before="196"/>
        <w:ind w:right="609"/>
        <w:jc w:val="both"/>
      </w:pPr>
      <w:r>
        <w:rPr>
          <w:color w:val="6E6158"/>
        </w:rPr>
        <w:t>Beyond commercial gaming, our hospitality attorneys leverage our firm-wide specialists to </w:t>
      </w:r>
      <w:r>
        <w:rPr>
          <w:color w:val="6E6158"/>
        </w:rPr>
        <w:t>assist many other hospitality companies in Arizona, Nevada, Colorado, and elsewhere. These include hotels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resorts,</w:t>
      </w:r>
      <w:r>
        <w:rPr>
          <w:color w:val="6E6158"/>
          <w:spacing w:val="37"/>
        </w:rPr>
        <w:t> </w:t>
      </w:r>
      <w:r>
        <w:rPr>
          <w:color w:val="6E6158"/>
        </w:rPr>
        <w:t>restaurants,</w:t>
      </w:r>
      <w:r>
        <w:rPr>
          <w:color w:val="6E6158"/>
          <w:spacing w:val="37"/>
        </w:rPr>
        <w:t> </w:t>
      </w:r>
      <w:r>
        <w:rPr>
          <w:color w:val="6E6158"/>
        </w:rPr>
        <w:t>nightlife</w:t>
      </w:r>
      <w:r>
        <w:rPr>
          <w:color w:val="6E6158"/>
          <w:spacing w:val="37"/>
        </w:rPr>
        <w:t> </w:t>
      </w:r>
      <w:r>
        <w:rPr>
          <w:color w:val="6E6158"/>
        </w:rPr>
        <w:t>venues,</w:t>
      </w:r>
      <w:r>
        <w:rPr>
          <w:color w:val="6E6158"/>
          <w:spacing w:val="37"/>
        </w:rPr>
        <w:t> </w:t>
      </w:r>
      <w:r>
        <w:rPr>
          <w:color w:val="6E6158"/>
        </w:rPr>
        <w:t>taverns,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companies</w:t>
      </w:r>
      <w:r>
        <w:rPr>
          <w:color w:val="6E6158"/>
          <w:spacing w:val="37"/>
        </w:rPr>
        <w:t> </w:t>
      </w:r>
      <w:r>
        <w:rPr>
          <w:color w:val="6E6158"/>
        </w:rPr>
        <w:t>engaged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</w:p>
    <w:p>
      <w:pPr>
        <w:pStyle w:val="BodyText"/>
        <w:spacing w:line="229" w:lineRule="exact"/>
        <w:jc w:val="both"/>
      </w:pPr>
      <w:r>
        <w:rPr>
          <w:color w:val="6E6158"/>
        </w:rPr>
        <w:t>procurement</w:t>
      </w:r>
      <w:r>
        <w:rPr>
          <w:color w:val="6E6158"/>
          <w:spacing w:val="13"/>
        </w:rPr>
        <w:t> </w:t>
      </w:r>
      <w:r>
        <w:rPr>
          <w:color w:val="6E6158"/>
        </w:rPr>
        <w:t>services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4"/>
        </w:rPr>
        <w:t> </w:t>
      </w:r>
      <w:r>
        <w:rPr>
          <w:color w:val="6E6158"/>
        </w:rPr>
        <w:t>these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businesses.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 w:before="1"/>
        <w:ind w:right="491"/>
        <w:jc w:val="both"/>
      </w:pPr>
      <w:r>
        <w:rPr>
          <w:color w:val="6E6158"/>
        </w:rPr>
        <w:t>Both</w:t>
      </w:r>
      <w:r>
        <w:rPr>
          <w:color w:val="6E6158"/>
          <w:spacing w:val="18"/>
        </w:rPr>
        <w:t> </w:t>
      </w:r>
      <w:r>
        <w:rPr>
          <w:color w:val="6E6158"/>
        </w:rPr>
        <w:t>gaming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non-gaming</w:t>
      </w:r>
      <w:r>
        <w:rPr>
          <w:color w:val="6E6158"/>
          <w:spacing w:val="18"/>
        </w:rPr>
        <w:t> </w:t>
      </w:r>
      <w:r>
        <w:rPr>
          <w:color w:val="6E6158"/>
        </w:rPr>
        <w:t>hospitality</w:t>
      </w:r>
      <w:r>
        <w:rPr>
          <w:color w:val="6E6158"/>
          <w:spacing w:val="18"/>
        </w:rPr>
        <w:t> </w:t>
      </w:r>
      <w:r>
        <w:rPr>
          <w:color w:val="6E6158"/>
        </w:rPr>
        <w:t>businesses</w:t>
      </w:r>
      <w:r>
        <w:rPr>
          <w:color w:val="6E6158"/>
          <w:spacing w:val="18"/>
        </w:rPr>
        <w:t> </w:t>
      </w:r>
      <w:r>
        <w:rPr>
          <w:color w:val="6E6158"/>
        </w:rPr>
        <w:t>benefit</w:t>
      </w:r>
      <w:r>
        <w:rPr>
          <w:color w:val="6E6158"/>
          <w:spacing w:val="18"/>
        </w:rPr>
        <w:t> </w:t>
      </w:r>
      <w:r>
        <w:rPr>
          <w:color w:val="6E6158"/>
        </w:rPr>
        <w:t>from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law</w:t>
      </w:r>
      <w:r>
        <w:rPr>
          <w:color w:val="6E6158"/>
          <w:spacing w:val="18"/>
        </w:rPr>
        <w:t> </w:t>
      </w:r>
      <w:r>
        <w:rPr>
          <w:color w:val="6E6158"/>
        </w:rPr>
        <w:t>firm</w:t>
      </w:r>
      <w:r>
        <w:rPr>
          <w:color w:val="6E6158"/>
          <w:spacing w:val="18"/>
        </w:rPr>
        <w:t> </w:t>
      </w:r>
      <w:r>
        <w:rPr>
          <w:color w:val="6E6158"/>
        </w:rPr>
        <w:t>that</w:t>
      </w:r>
      <w:r>
        <w:rPr>
          <w:color w:val="6E6158"/>
          <w:spacing w:val="18"/>
        </w:rPr>
        <w:t> </w:t>
      </w:r>
      <w:r>
        <w:rPr>
          <w:color w:val="6E6158"/>
        </w:rPr>
        <w:t>has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diversity of talent to achieve transactional and regulatory results in a competitive industry.</w:t>
      </w:r>
      <w:r>
        <w:rPr>
          <w:color w:val="6E6158"/>
          <w:spacing w:val="16"/>
        </w:rPr>
        <w:t> </w:t>
      </w:r>
      <w:r>
        <w:rPr>
          <w:color w:val="6E6158"/>
        </w:rPr>
        <w:t>Our broad </w:t>
      </w:r>
      <w:r>
        <w:rPr>
          <w:color w:val="6E6158"/>
        </w:rPr>
        <w:t>skills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law,</w:t>
      </w:r>
      <w:r>
        <w:rPr>
          <w:color w:val="6E6158"/>
          <w:spacing w:val="30"/>
        </w:rPr>
        <w:t> </w:t>
      </w:r>
      <w:hyperlink r:id="rId15">
        <w:r>
          <w:rPr>
            <w:color w:val="FF8100"/>
          </w:rPr>
          <w:t>finance</w:t>
        </w:r>
      </w:hyperlink>
      <w:hyperlink r:id="rId16">
        <w:r>
          <w:rPr>
            <w:color w:val="FF8100"/>
          </w:rPr>
          <w:t>,</w:t>
        </w:r>
      </w:hyperlink>
      <w:r>
        <w:rPr>
          <w:color w:val="FF8100"/>
          <w:spacing w:val="30"/>
        </w:rPr>
        <w:t> </w:t>
      </w:r>
      <w:hyperlink r:id="rId17">
        <w:r>
          <w:rPr>
            <w:color w:val="FF8100"/>
          </w:rPr>
          <w:t>government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regulation</w:t>
        </w:r>
      </w:hyperlink>
      <w:r>
        <w:rPr>
          <w:color w:val="6E6158"/>
        </w:rPr>
        <w:t>,</w:t>
      </w:r>
      <w:r>
        <w:rPr>
          <w:color w:val="6E6158"/>
          <w:spacing w:val="30"/>
        </w:rPr>
        <w:t> </w:t>
      </w:r>
      <w:hyperlink r:id="rId18">
        <w:r>
          <w:rPr>
            <w:color w:val="FF8100"/>
          </w:rPr>
          <w:t>labor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employment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law</w:t>
        </w:r>
      </w:hyperlink>
      <w:r>
        <w:rPr>
          <w:color w:val="6E6158"/>
        </w:rPr>
        <w:t>,</w:t>
      </w:r>
      <w:r>
        <w:rPr>
          <w:color w:val="6E6158"/>
          <w:spacing w:val="30"/>
        </w:rPr>
        <w:t> </w:t>
      </w:r>
      <w:r>
        <w:rPr>
          <w:color w:val="6E6158"/>
        </w:rPr>
        <w:t>land</w:t>
      </w:r>
      <w:r>
        <w:rPr>
          <w:color w:val="6E6158"/>
          <w:spacing w:val="30"/>
        </w:rPr>
        <w:t> </w:t>
      </w:r>
      <w:r>
        <w:rPr>
          <w:color w:val="6E6158"/>
        </w:rPr>
        <w:t>use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</w:p>
    <w:p>
      <w:pPr>
        <w:pStyle w:val="BodyText"/>
        <w:spacing w:line="229" w:lineRule="exact"/>
        <w:jc w:val="both"/>
      </w:pPr>
      <w:r>
        <w:rPr>
          <w:color w:val="6E6158"/>
        </w:rPr>
        <w:t>zoning,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hyperlink r:id="rId19">
        <w:r>
          <w:rPr>
            <w:color w:val="FF8100"/>
          </w:rPr>
          <w:t>intellectual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property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law</w:t>
        </w:r>
      </w:hyperlink>
      <w:r>
        <w:rPr>
          <w:color w:val="FF8100"/>
          <w:spacing w:val="12"/>
        </w:rPr>
        <w:t> </w:t>
      </w:r>
      <w:r>
        <w:rPr>
          <w:color w:val="6E6158"/>
        </w:rPr>
        <w:t>provide</w:t>
      </w:r>
      <w:r>
        <w:rPr>
          <w:color w:val="6E6158"/>
          <w:spacing w:val="13"/>
        </w:rPr>
        <w:t> </w:t>
      </w:r>
      <w:r>
        <w:rPr>
          <w:color w:val="6E6158"/>
        </w:rPr>
        <w:t>just</w:t>
      </w:r>
      <w:r>
        <w:rPr>
          <w:color w:val="6E6158"/>
          <w:spacing w:val="12"/>
        </w:rPr>
        <w:t> </w:t>
      </w:r>
      <w:r>
        <w:rPr>
          <w:color w:val="6E6158"/>
        </w:rPr>
        <w:t>those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resources.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gaming-and-hospitality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hyperlink" Target="https://www.fennemorelaw.com/people/attorneys/dan-r-reaser/" TargetMode="External"/><Relationship Id="rId12" Type="http://schemas.openxmlformats.org/officeDocument/2006/relationships/hyperlink" Target="https://www.fennemorelaw.com/contact-us/#reno" TargetMode="External"/><Relationship Id="rId13" Type="http://schemas.openxmlformats.org/officeDocument/2006/relationships/hyperlink" Target="mailto:dreaser@fennemorelaw.com" TargetMode="External"/><Relationship Id="rId14" Type="http://schemas.openxmlformats.org/officeDocument/2006/relationships/hyperlink" Target="https://www.nigc.gov/" TargetMode="External"/><Relationship Id="rId15" Type="http://schemas.openxmlformats.org/officeDocument/2006/relationships/hyperlink" Target="https://www.fclaw.com/services/practices/business-and-finance" TargetMode="External"/><Relationship Id="rId16" Type="http://schemas.openxmlformats.org/officeDocument/2006/relationships/hyperlink" Target="https://www.fennemorelaw.com/services/practices/financial-restructuring-bankruptcy-creditors-rights" TargetMode="External"/><Relationship Id="rId17" Type="http://schemas.openxmlformats.org/officeDocument/2006/relationships/hyperlink" Target="https://www.fennemorelaw.com/services/practices/government-relations-and-regulatory-law" TargetMode="External"/><Relationship Id="rId18" Type="http://schemas.openxmlformats.org/officeDocument/2006/relationships/hyperlink" Target="https://www.fennemorelaw.com/services/practices/employment-and-labor-relations" TargetMode="External"/><Relationship Id="rId19" Type="http://schemas.openxmlformats.org/officeDocument/2006/relationships/hyperlink" Target="https://www.fennemorelaw.com/services/practices/intellectual-property-and-ip-litigation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&amp; Hospitality - Fennemore</dc:title>
  <dcterms:created xsi:type="dcterms:W3CDTF">2026-06-12T09:23:43Z</dcterms:created>
  <dcterms:modified xsi:type="dcterms:W3CDTF">2026-06-12T09:23:43Z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