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Gerald Shelley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722" w:right="724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GERALD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L.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SHELLEY</w:t>
                              </w:r>
                            </w:p>
                            <w:p>
                              <w:pPr>
                                <w:spacing w:before="48"/>
                                <w:ind w:left="722" w:right="724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722" w:right="724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Financial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Restructuring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722" w:right="724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602.916.5439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602.916.5639</w:t>
                              </w:r>
                            </w:p>
                            <w:p>
                              <w:pPr>
                                <w:spacing w:before="119"/>
                                <w:ind w:left="722" w:right="724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gshelley@fennemorelaw.com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Gerald Shelley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722" w:right="724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GERALD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L.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SHELLEY</w:t>
                        </w:r>
                      </w:p>
                      <w:p>
                        <w:pPr>
                          <w:spacing w:before="48"/>
                          <w:ind w:left="722" w:right="724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722" w:right="724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Financial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Restructuring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722" w:right="724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602.916.5439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602.916.5639</w:t>
                        </w:r>
                      </w:p>
                      <w:p>
                        <w:pPr>
                          <w:spacing w:before="119"/>
                          <w:ind w:left="722" w:right="724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gshelley@fennemorelaw.com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before="63"/>
        <w:ind w:left="99" w:right="0" w:firstLine="0"/>
        <w:jc w:val="left"/>
        <w:rPr>
          <w:b/>
          <w:sz w:val="24"/>
        </w:rPr>
      </w:pPr>
      <w:r>
        <w:rPr>
          <w:b/>
          <w:color w:val="002E6B"/>
          <w:sz w:val="24"/>
        </w:rPr>
        <w:t>GERALD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z w:val="24"/>
        </w:rPr>
        <w:t>L.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pacing w:val="-2"/>
          <w:sz w:val="24"/>
        </w:rPr>
        <w:t>SHELLEY</w:t>
      </w:r>
    </w:p>
    <w:p>
      <w:pPr>
        <w:pStyle w:val="BodyText"/>
        <w:spacing w:line="302" w:lineRule="auto" w:before="147"/>
        <w:ind w:right="765"/>
      </w:pPr>
      <w:r>
        <w:rPr>
          <w:color w:val="333333"/>
        </w:rPr>
        <w:t>Gerald practices in the areas of commercial bankruptcy, litigation and business </w:t>
      </w:r>
      <w:r>
        <w:rPr>
          <w:color w:val="333333"/>
        </w:rPr>
        <w:t>restructuring</w:t>
      </w:r>
      <w:r>
        <w:rPr>
          <w:color w:val="333333"/>
          <w:spacing w:val="40"/>
        </w:rPr>
        <w:t> </w:t>
      </w:r>
      <w:r>
        <w:rPr>
          <w:color w:val="333333"/>
        </w:rPr>
        <w:t>and</w:t>
      </w:r>
      <w:r>
        <w:rPr>
          <w:color w:val="333333"/>
          <w:spacing w:val="31"/>
        </w:rPr>
        <w:t> </w:t>
      </w:r>
      <w:r>
        <w:rPr>
          <w:color w:val="333333"/>
        </w:rPr>
        <w:t>reorganization.</w:t>
      </w:r>
      <w:r>
        <w:rPr>
          <w:color w:val="333333"/>
          <w:spacing w:val="31"/>
        </w:rPr>
        <w:t> </w:t>
      </w:r>
      <w:r>
        <w:rPr>
          <w:color w:val="333333"/>
        </w:rPr>
        <w:t>He</w:t>
      </w:r>
      <w:r>
        <w:rPr>
          <w:color w:val="333333"/>
          <w:spacing w:val="31"/>
        </w:rPr>
        <w:t> </w:t>
      </w:r>
      <w:r>
        <w:rPr>
          <w:color w:val="333333"/>
        </w:rPr>
        <w:t>has</w:t>
      </w:r>
      <w:r>
        <w:rPr>
          <w:color w:val="333333"/>
          <w:spacing w:val="31"/>
        </w:rPr>
        <w:t> </w:t>
      </w:r>
      <w:r>
        <w:rPr>
          <w:color w:val="333333"/>
        </w:rPr>
        <w:t>handled</w:t>
      </w:r>
      <w:r>
        <w:rPr>
          <w:color w:val="333333"/>
          <w:spacing w:val="31"/>
        </w:rPr>
        <w:t> </w:t>
      </w:r>
      <w:r>
        <w:rPr>
          <w:color w:val="333333"/>
        </w:rPr>
        <w:t>insolvency</w:t>
      </w:r>
      <w:r>
        <w:rPr>
          <w:color w:val="333333"/>
          <w:spacing w:val="31"/>
        </w:rPr>
        <w:t> </w:t>
      </w:r>
      <w:r>
        <w:rPr>
          <w:color w:val="333333"/>
        </w:rPr>
        <w:t>and</w:t>
      </w:r>
      <w:r>
        <w:rPr>
          <w:color w:val="333333"/>
          <w:spacing w:val="31"/>
        </w:rPr>
        <w:t> </w:t>
      </w:r>
      <w:r>
        <w:rPr>
          <w:color w:val="333333"/>
        </w:rPr>
        <w:t>reorganization</w:t>
      </w:r>
      <w:r>
        <w:rPr>
          <w:color w:val="333333"/>
          <w:spacing w:val="31"/>
        </w:rPr>
        <w:t> </w:t>
      </w:r>
      <w:r>
        <w:rPr>
          <w:color w:val="333333"/>
        </w:rPr>
        <w:t>cases</w:t>
      </w:r>
      <w:r>
        <w:rPr>
          <w:color w:val="333333"/>
          <w:spacing w:val="31"/>
        </w:rPr>
        <w:t> </w:t>
      </w:r>
      <w:r>
        <w:rPr>
          <w:color w:val="333333"/>
        </w:rPr>
        <w:t>in</w:t>
      </w:r>
      <w:r>
        <w:rPr>
          <w:color w:val="333333"/>
          <w:spacing w:val="31"/>
        </w:rPr>
        <w:t> </w:t>
      </w:r>
      <w:r>
        <w:rPr>
          <w:color w:val="333333"/>
        </w:rPr>
        <w:t>a</w:t>
      </w:r>
      <w:r>
        <w:rPr>
          <w:color w:val="333333"/>
          <w:spacing w:val="31"/>
        </w:rPr>
        <w:t> </w:t>
      </w:r>
      <w:r>
        <w:rPr>
          <w:color w:val="333333"/>
        </w:rPr>
        <w:t>variety</w:t>
      </w:r>
      <w:r>
        <w:rPr>
          <w:color w:val="333333"/>
          <w:spacing w:val="31"/>
        </w:rPr>
        <w:t> </w:t>
      </w:r>
      <w:r>
        <w:rPr>
          <w:color w:val="333333"/>
        </w:rPr>
        <w:t>of</w:t>
      </w:r>
    </w:p>
    <w:p>
      <w:pPr>
        <w:pStyle w:val="BodyText"/>
        <w:spacing w:line="224" w:lineRule="exact"/>
      </w:pPr>
      <w:r>
        <w:rPr>
          <w:color w:val="333333"/>
        </w:rPr>
        <w:t>industries,</w:t>
      </w:r>
      <w:r>
        <w:rPr>
          <w:color w:val="333333"/>
          <w:spacing w:val="16"/>
        </w:rPr>
        <w:t> </w:t>
      </w:r>
      <w:r>
        <w:rPr>
          <w:color w:val="333333"/>
        </w:rPr>
        <w:t>including</w:t>
      </w:r>
      <w:r>
        <w:rPr>
          <w:color w:val="333333"/>
          <w:spacing w:val="17"/>
        </w:rPr>
        <w:t> </w:t>
      </w:r>
      <w:r>
        <w:rPr>
          <w:color w:val="333333"/>
        </w:rPr>
        <w:t>real</w:t>
      </w:r>
      <w:r>
        <w:rPr>
          <w:color w:val="333333"/>
          <w:spacing w:val="17"/>
        </w:rPr>
        <w:t> </w:t>
      </w:r>
      <w:r>
        <w:rPr>
          <w:color w:val="333333"/>
        </w:rPr>
        <w:t>estate,</w:t>
      </w:r>
      <w:r>
        <w:rPr>
          <w:color w:val="333333"/>
          <w:spacing w:val="17"/>
        </w:rPr>
        <w:t> </w:t>
      </w:r>
      <w:r>
        <w:rPr>
          <w:color w:val="333333"/>
        </w:rPr>
        <w:t>agriculture,</w:t>
      </w:r>
      <w:r>
        <w:rPr>
          <w:color w:val="333333"/>
          <w:spacing w:val="16"/>
        </w:rPr>
        <w:t> </w:t>
      </w:r>
      <w:r>
        <w:rPr>
          <w:color w:val="333333"/>
        </w:rPr>
        <w:t>mining,</w:t>
      </w:r>
      <w:r>
        <w:rPr>
          <w:color w:val="333333"/>
          <w:spacing w:val="17"/>
        </w:rPr>
        <w:t> </w:t>
      </w:r>
      <w:r>
        <w:rPr>
          <w:color w:val="333333"/>
        </w:rPr>
        <w:t>transportation,</w:t>
      </w:r>
      <w:r>
        <w:rPr>
          <w:color w:val="333333"/>
          <w:spacing w:val="17"/>
        </w:rPr>
        <w:t> </w:t>
      </w:r>
      <w:r>
        <w:rPr>
          <w:color w:val="333333"/>
        </w:rPr>
        <w:t>retail,</w:t>
      </w:r>
      <w:r>
        <w:rPr>
          <w:color w:val="333333"/>
          <w:spacing w:val="17"/>
        </w:rPr>
        <w:t> </w:t>
      </w:r>
      <w:r>
        <w:rPr>
          <w:color w:val="333333"/>
        </w:rPr>
        <w:t>franchising</w:t>
      </w:r>
      <w:r>
        <w:rPr>
          <w:color w:val="333333"/>
          <w:spacing w:val="17"/>
        </w:rPr>
        <w:t> </w:t>
      </w:r>
      <w:r>
        <w:rPr>
          <w:color w:val="333333"/>
          <w:spacing w:val="-5"/>
        </w:rPr>
        <w:t>and</w:t>
      </w:r>
    </w:p>
    <w:p>
      <w:pPr>
        <w:pStyle w:val="BodyText"/>
        <w:spacing w:line="295" w:lineRule="auto" w:before="52"/>
        <w:ind w:right="765"/>
      </w:pPr>
      <w:r>
        <w:rPr>
          <w:color w:val="333333"/>
        </w:rPr>
        <w:t>licensing, health care, manufacturing, non-profit, and e-commerce. He represents lenders,</w:t>
      </w:r>
      <w:r>
        <w:rPr>
          <w:color w:val="333333"/>
          <w:spacing w:val="40"/>
        </w:rPr>
        <w:t> </w:t>
      </w:r>
      <w:r>
        <w:rPr>
          <w:color w:val="333333"/>
        </w:rPr>
        <w:t>secured and unsecured, committees, debtors, trustees, examiners, purchasers and other </w:t>
      </w:r>
      <w:r>
        <w:rPr>
          <w:color w:val="333333"/>
        </w:rPr>
        <w:t>parties</w:t>
      </w:r>
      <w:r>
        <w:rPr>
          <w:color w:val="333333"/>
          <w:spacing w:val="40"/>
        </w:rPr>
        <w:t> </w:t>
      </w:r>
      <w:r>
        <w:rPr>
          <w:color w:val="333333"/>
        </w:rPr>
        <w:t>affected by or connected to an insolvency or bankruptcy. He has also handled cross-border</w:t>
      </w:r>
      <w:r>
        <w:rPr>
          <w:color w:val="333333"/>
          <w:spacing w:val="40"/>
        </w:rPr>
        <w:t> </w:t>
      </w:r>
      <w:r>
        <w:rPr>
          <w:color w:val="333333"/>
        </w:rPr>
        <w:t>insolvency issues involving Canada, Europe, Asia, and Latin America, where his Spanish fluency</w:t>
      </w:r>
      <w:r>
        <w:rPr>
          <w:color w:val="333333"/>
          <w:spacing w:val="40"/>
        </w:rPr>
        <w:t> </w:t>
      </w:r>
      <w:r>
        <w:rPr>
          <w:color w:val="333333"/>
          <w:spacing w:val="-2"/>
        </w:rPr>
        <w:t>assists.</w:t>
      </w:r>
    </w:p>
    <w:p>
      <w:pPr>
        <w:pStyle w:val="Heading2"/>
        <w:spacing w:before="161"/>
      </w:pPr>
      <w:r>
        <w:rPr>
          <w:color w:val="FF8100"/>
          <w:spacing w:val="-2"/>
        </w:rPr>
        <w:t>EDUCATION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BodyText"/>
      </w:pPr>
      <w:r>
        <w:rPr>
          <w:color w:val="6E6158"/>
        </w:rPr>
        <w:t>J.D.</w:t>
      </w:r>
      <w:r>
        <w:rPr>
          <w:color w:val="6E6158"/>
          <w:spacing w:val="12"/>
        </w:rPr>
        <w:t> </w:t>
      </w:r>
      <w:r>
        <w:rPr>
          <w:color w:val="6E6158"/>
        </w:rPr>
        <w:t>Arizona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3"/>
        </w:rPr>
        <w:t> </w:t>
      </w:r>
      <w:r>
        <w:rPr>
          <w:color w:val="6E6158"/>
        </w:rPr>
        <w:t>University,</w:t>
      </w:r>
      <w:r>
        <w:rPr>
          <w:color w:val="6E6158"/>
          <w:spacing w:val="12"/>
        </w:rPr>
        <w:t> </w:t>
      </w:r>
      <w:r>
        <w:rPr>
          <w:color w:val="6E6158"/>
        </w:rPr>
        <w:t>Sandra</w:t>
      </w:r>
      <w:r>
        <w:rPr>
          <w:color w:val="6E6158"/>
          <w:spacing w:val="13"/>
        </w:rPr>
        <w:t> </w:t>
      </w:r>
      <w:r>
        <w:rPr>
          <w:color w:val="6E6158"/>
        </w:rPr>
        <w:t>Day</w:t>
      </w:r>
      <w:r>
        <w:rPr>
          <w:color w:val="6E6158"/>
          <w:spacing w:val="13"/>
        </w:rPr>
        <w:t> </w:t>
      </w:r>
      <w:r>
        <w:rPr>
          <w:color w:val="6E6158"/>
        </w:rPr>
        <w:t>O’Connor</w:t>
      </w:r>
      <w:r>
        <w:rPr>
          <w:color w:val="6E6158"/>
          <w:spacing w:val="12"/>
        </w:rPr>
        <w:t> </w:t>
      </w:r>
      <w:r>
        <w:rPr>
          <w:color w:val="6E6158"/>
        </w:rPr>
        <w:t>College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line="420" w:lineRule="auto" w:before="174"/>
        <w:ind w:right="6493"/>
      </w:pPr>
      <w:r>
        <w:rPr>
          <w:color w:val="6E6158"/>
        </w:rPr>
        <w:t>B.A. Brigham Young </w:t>
      </w:r>
      <w:r>
        <w:rPr>
          <w:color w:val="6E6158"/>
        </w:rPr>
        <w:t>University</w:t>
      </w:r>
      <w:r>
        <w:rPr>
          <w:color w:val="6E6158"/>
        </w:rPr>
        <w:t> Omicron Delta Epsilon</w:t>
      </w:r>
    </w:p>
    <w:p>
      <w:pPr>
        <w:pStyle w:val="BodyText"/>
        <w:spacing w:line="302" w:lineRule="auto"/>
        <w:ind w:right="474"/>
      </w:pPr>
      <w:r>
        <w:rPr>
          <w:color w:val="6E6158"/>
        </w:rPr>
        <w:t>Law clerk to the Honorable Robert G. Mooreman, Chief U.S. Bankruptcy Judge, District of Arizona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1985-1987</w:t>
      </w:r>
    </w:p>
    <w:p>
      <w:pPr>
        <w:pStyle w:val="BodyText"/>
        <w:spacing w:before="112"/>
      </w:pPr>
      <w:r>
        <w:rPr>
          <w:color w:val="6E6158"/>
        </w:rPr>
        <w:t>Nationally</w:t>
      </w:r>
      <w:r>
        <w:rPr>
          <w:color w:val="6E6158"/>
          <w:spacing w:val="12"/>
        </w:rPr>
        <w:t> </w:t>
      </w:r>
      <w:r>
        <w:rPr>
          <w:color w:val="6E6158"/>
        </w:rPr>
        <w:t>Certified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Business</w:t>
      </w:r>
      <w:r>
        <w:rPr>
          <w:color w:val="6E6158"/>
          <w:spacing w:val="12"/>
        </w:rPr>
        <w:t> </w:t>
      </w:r>
      <w:r>
        <w:rPr>
          <w:color w:val="6E6158"/>
        </w:rPr>
        <w:t>Bankruptcy</w:t>
      </w:r>
      <w:r>
        <w:rPr>
          <w:color w:val="6E6158"/>
          <w:spacing w:val="12"/>
        </w:rPr>
        <w:t> </w:t>
      </w:r>
      <w:r>
        <w:rPr>
          <w:color w:val="6E6158"/>
        </w:rPr>
        <w:t>Law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American</w:t>
      </w:r>
      <w:r>
        <w:rPr>
          <w:color w:val="6E6158"/>
          <w:spacing w:val="12"/>
        </w:rPr>
        <w:t> </w:t>
      </w:r>
      <w:r>
        <w:rPr>
          <w:color w:val="6E6158"/>
        </w:rPr>
        <w:t>Board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Certification</w:t>
      </w:r>
    </w:p>
    <w:p>
      <w:pPr>
        <w:pStyle w:val="BodyText"/>
        <w:spacing w:before="162"/>
        <w:ind w:left="0"/>
        <w:rPr>
          <w:sz w:val="24"/>
        </w:rPr>
      </w:pPr>
    </w:p>
    <w:p>
      <w:pPr>
        <w:spacing w:before="1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1"/>
        <w:ind w:left="0"/>
        <w:rPr>
          <w:b/>
        </w:rPr>
      </w:pPr>
    </w:p>
    <w:p>
      <w:pPr>
        <w:pStyle w:val="BodyText"/>
        <w:spacing w:line="420" w:lineRule="auto"/>
        <w:ind w:right="7810"/>
      </w:pPr>
      <w:r>
        <w:rPr>
          <w:color w:val="6E6158"/>
          <w:spacing w:val="-2"/>
        </w:rPr>
        <w:t>Bankruptcy Litigation</w:t>
      </w:r>
    </w:p>
    <w:p>
      <w:pPr>
        <w:pStyle w:val="BodyText"/>
        <w:spacing w:line="427" w:lineRule="auto" w:before="121"/>
        <w:ind w:right="6493"/>
      </w:pPr>
      <w:r>
        <w:rPr>
          <w:color w:val="6E6158"/>
        </w:rPr>
        <w:t>Financial </w:t>
      </w:r>
      <w:r>
        <w:rPr>
          <w:color w:val="6E6158"/>
        </w:rPr>
        <w:t>Restructuring </w:t>
      </w:r>
      <w:r>
        <w:rPr>
          <w:color w:val="6E6158"/>
          <w:spacing w:val="-2"/>
        </w:rPr>
        <w:t>Agribusiness</w:t>
      </w:r>
    </w:p>
    <w:p>
      <w:pPr>
        <w:pStyle w:val="BodyText"/>
        <w:spacing w:after="0" w:line="427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Heading2"/>
        <w:spacing w:before="83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/>
        <w:ind w:right="2826"/>
      </w:pPr>
      <w:r>
        <w:rPr>
          <w:color w:val="6E6158"/>
        </w:rPr>
        <w:t>Reorganized several golf courses in the greater Phoenix </w:t>
      </w:r>
      <w:r>
        <w:rPr>
          <w:color w:val="6E6158"/>
        </w:rPr>
        <w:t>area. Represented banks and private lenders seeking stay relief.</w:t>
      </w:r>
    </w:p>
    <w:p>
      <w:pPr>
        <w:pStyle w:val="BodyText"/>
        <w:spacing w:before="6"/>
      </w:pPr>
      <w:r>
        <w:rPr>
          <w:color w:val="6E6158"/>
        </w:rPr>
        <w:t>Represented</w:t>
      </w:r>
      <w:r>
        <w:rPr>
          <w:color w:val="6E6158"/>
          <w:spacing w:val="11"/>
        </w:rPr>
        <w:t> </w:t>
      </w:r>
      <w:r>
        <w:rPr>
          <w:color w:val="6E6158"/>
        </w:rPr>
        <w:t>Wall</w:t>
      </w:r>
      <w:r>
        <w:rPr>
          <w:color w:val="6E6158"/>
          <w:spacing w:val="12"/>
        </w:rPr>
        <w:t> </w:t>
      </w:r>
      <w:r>
        <w:rPr>
          <w:color w:val="6E6158"/>
        </w:rPr>
        <w:t>Street</w:t>
      </w:r>
      <w:r>
        <w:rPr>
          <w:color w:val="6E6158"/>
          <w:spacing w:val="11"/>
        </w:rPr>
        <w:t> </w:t>
      </w:r>
      <w:r>
        <w:rPr>
          <w:color w:val="6E6158"/>
        </w:rPr>
        <w:t>lender</w:t>
      </w:r>
      <w:r>
        <w:rPr>
          <w:color w:val="6E6158"/>
          <w:spacing w:val="12"/>
        </w:rPr>
        <w:t> </w:t>
      </w:r>
      <w:r>
        <w:rPr>
          <w:color w:val="6E6158"/>
        </w:rPr>
        <w:t>with</w:t>
      </w:r>
      <w:r>
        <w:rPr>
          <w:color w:val="6E6158"/>
          <w:spacing w:val="12"/>
        </w:rPr>
        <w:t> </w:t>
      </w:r>
      <w:r>
        <w:rPr>
          <w:color w:val="6E6158"/>
        </w:rPr>
        <w:t>“Zone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Insolvency”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issues.</w:t>
      </w:r>
    </w:p>
    <w:p>
      <w:pPr>
        <w:pStyle w:val="BodyText"/>
        <w:spacing w:line="420" w:lineRule="auto" w:before="174"/>
        <w:ind w:right="958"/>
      </w:pPr>
      <w:r>
        <w:rPr>
          <w:color w:val="6E6158"/>
        </w:rPr>
        <w:t>Represented official committee in hedge fund bankruptcy with Ponzi Scheme implications</w:t>
      </w:r>
      <w:r>
        <w:rPr>
          <w:color w:val="6E6158"/>
          <w:spacing w:val="40"/>
        </w:rPr>
        <w:t> </w:t>
      </w:r>
      <w:r>
        <w:rPr>
          <w:color w:val="6E6158"/>
        </w:rPr>
        <w:t>Represented</w:t>
      </w:r>
      <w:r>
        <w:rPr>
          <w:color w:val="6E6158"/>
          <w:spacing w:val="38"/>
        </w:rPr>
        <w:t> </w:t>
      </w:r>
      <w:r>
        <w:rPr>
          <w:color w:val="6E6158"/>
        </w:rPr>
        <w:t>parties</w:t>
      </w:r>
      <w:r>
        <w:rPr>
          <w:color w:val="6E6158"/>
          <w:spacing w:val="38"/>
        </w:rPr>
        <w:t> </w:t>
      </w:r>
      <w:r>
        <w:rPr>
          <w:color w:val="6E6158"/>
        </w:rPr>
        <w:t>with</w:t>
      </w:r>
      <w:r>
        <w:rPr>
          <w:color w:val="6E6158"/>
          <w:spacing w:val="38"/>
        </w:rPr>
        <w:t> </w:t>
      </w:r>
      <w:r>
        <w:rPr>
          <w:color w:val="6E6158"/>
        </w:rPr>
        <w:t>interests</w:t>
      </w:r>
      <w:r>
        <w:rPr>
          <w:color w:val="6E6158"/>
          <w:spacing w:val="38"/>
        </w:rPr>
        <w:t> </w:t>
      </w:r>
      <w:r>
        <w:rPr>
          <w:color w:val="6E6158"/>
        </w:rPr>
        <w:t>in</w:t>
      </w:r>
      <w:r>
        <w:rPr>
          <w:color w:val="6E6158"/>
          <w:spacing w:val="38"/>
        </w:rPr>
        <w:t> </w:t>
      </w:r>
      <w:r>
        <w:rPr>
          <w:color w:val="6E6158"/>
        </w:rPr>
        <w:t>airline</w:t>
      </w:r>
      <w:r>
        <w:rPr>
          <w:color w:val="6E6158"/>
          <w:spacing w:val="38"/>
        </w:rPr>
        <w:t> </w:t>
      </w:r>
      <w:r>
        <w:rPr>
          <w:color w:val="6E6158"/>
        </w:rPr>
        <w:t>bankruptcies,</w:t>
      </w:r>
      <w:r>
        <w:rPr>
          <w:color w:val="6E6158"/>
          <w:spacing w:val="38"/>
        </w:rPr>
        <w:t> </w:t>
      </w:r>
      <w:r>
        <w:rPr>
          <w:color w:val="6E6158"/>
        </w:rPr>
        <w:t>both</w:t>
      </w:r>
      <w:r>
        <w:rPr>
          <w:color w:val="6E6158"/>
          <w:spacing w:val="38"/>
        </w:rPr>
        <w:t> </w:t>
      </w:r>
      <w:r>
        <w:rPr>
          <w:color w:val="6E6158"/>
        </w:rPr>
        <w:t>national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international.</w:t>
      </w:r>
    </w:p>
    <w:p>
      <w:pPr>
        <w:pStyle w:val="BodyText"/>
        <w:spacing w:line="302" w:lineRule="auto"/>
        <w:ind w:right="958"/>
      </w:pPr>
      <w:r>
        <w:rPr>
          <w:color w:val="6E6158"/>
        </w:rPr>
        <w:t>Represented an international financial institution in its defense of a cramdown plan relating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low income housing apartments.</w:t>
      </w:r>
    </w:p>
    <w:p>
      <w:pPr>
        <w:pStyle w:val="BodyText"/>
        <w:spacing w:before="111"/>
      </w:pPr>
      <w:r>
        <w:rPr>
          <w:color w:val="6E6158"/>
        </w:rPr>
        <w:t>Represented</w:t>
      </w:r>
      <w:r>
        <w:rPr>
          <w:color w:val="6E6158"/>
          <w:spacing w:val="14"/>
        </w:rPr>
        <w:t> </w:t>
      </w:r>
      <w:r>
        <w:rPr>
          <w:color w:val="6E6158"/>
        </w:rPr>
        <w:t>various</w:t>
      </w:r>
      <w:r>
        <w:rPr>
          <w:color w:val="6E6158"/>
          <w:spacing w:val="15"/>
        </w:rPr>
        <w:t> </w:t>
      </w:r>
      <w:r>
        <w:rPr>
          <w:color w:val="6E6158"/>
        </w:rPr>
        <w:t>defendants</w:t>
      </w:r>
      <w:r>
        <w:rPr>
          <w:color w:val="6E6158"/>
          <w:spacing w:val="15"/>
        </w:rPr>
        <w:t> </w:t>
      </w:r>
      <w:r>
        <w:rPr>
          <w:color w:val="6E6158"/>
        </w:rPr>
        <w:t>in</w:t>
      </w:r>
      <w:r>
        <w:rPr>
          <w:color w:val="6E6158"/>
          <w:spacing w:val="15"/>
        </w:rPr>
        <w:t> </w:t>
      </w:r>
      <w:r>
        <w:rPr>
          <w:color w:val="6E6158"/>
        </w:rPr>
        <w:t>large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complex</w:t>
      </w:r>
      <w:r>
        <w:rPr>
          <w:color w:val="6E6158"/>
          <w:spacing w:val="15"/>
        </w:rPr>
        <w:t> </w:t>
      </w:r>
      <w:r>
        <w:rPr>
          <w:color w:val="6E6158"/>
        </w:rPr>
        <w:t>preference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avoidance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cases.</w:t>
      </w:r>
    </w:p>
    <w:p>
      <w:pPr>
        <w:pStyle w:val="BodyText"/>
        <w:spacing w:line="292" w:lineRule="auto" w:before="174"/>
        <w:ind w:right="958"/>
      </w:pPr>
      <w:r>
        <w:rPr>
          <w:color w:val="6E6158"/>
        </w:rPr>
        <w:t>Represented utility companies in rearranging or terminating contracts with Enron </w:t>
      </w:r>
      <w:r>
        <w:rPr>
          <w:color w:val="6E6158"/>
        </w:rPr>
        <w:t>Power Marketing Corporation.</w:t>
      </w:r>
    </w:p>
    <w:p>
      <w:pPr>
        <w:pStyle w:val="BodyText"/>
        <w:spacing w:before="132"/>
      </w:pPr>
      <w:r>
        <w:rPr>
          <w:color w:val="6E6158"/>
        </w:rPr>
        <w:t>Represented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State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Arizona’s</w:t>
      </w:r>
      <w:r>
        <w:rPr>
          <w:color w:val="6E6158"/>
          <w:spacing w:val="11"/>
        </w:rPr>
        <w:t> </w:t>
      </w:r>
      <w:r>
        <w:rPr>
          <w:color w:val="6E6158"/>
        </w:rPr>
        <w:t>health</w:t>
      </w:r>
      <w:r>
        <w:rPr>
          <w:color w:val="6E6158"/>
          <w:spacing w:val="11"/>
        </w:rPr>
        <w:t> </w:t>
      </w:r>
      <w:r>
        <w:rPr>
          <w:color w:val="6E6158"/>
        </w:rPr>
        <w:t>care</w:t>
      </w:r>
      <w:r>
        <w:rPr>
          <w:color w:val="6E6158"/>
          <w:spacing w:val="12"/>
        </w:rPr>
        <w:t> </w:t>
      </w:r>
      <w:r>
        <w:rPr>
          <w:color w:val="6E6158"/>
        </w:rPr>
        <w:t>agency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dealing</w:t>
      </w:r>
      <w:r>
        <w:rPr>
          <w:color w:val="6E6158"/>
          <w:spacing w:val="11"/>
        </w:rPr>
        <w:t> </w:t>
      </w:r>
      <w:r>
        <w:rPr>
          <w:color w:val="6E6158"/>
        </w:rPr>
        <w:t>with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hospital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Chapter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11.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253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7"/>
          <w:sz w:val="20"/>
        </w:rPr>
        <w:t> </w:t>
      </w:r>
      <w:r>
        <w:rPr>
          <w:color w:val="6E6158"/>
          <w:sz w:val="19"/>
        </w:rPr>
        <w:t>Bankruptcy: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Business,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2014-</w:t>
      </w:r>
      <w:r>
        <w:rPr>
          <w:color w:val="6E6158"/>
          <w:spacing w:val="-4"/>
          <w:sz w:val="19"/>
        </w:rPr>
        <w:t>2023</w:t>
      </w:r>
    </w:p>
    <w:p>
      <w:pPr>
        <w:pStyle w:val="BodyText"/>
        <w:spacing w:line="297" w:lineRule="auto" w:before="165"/>
        <w:ind w:right="958"/>
      </w:pP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</w:rPr>
        <w:t>Bankruptcy and Creditor Debtor Rights, Insolvency </w:t>
      </w:r>
      <w:r>
        <w:rPr>
          <w:color w:val="6E6158"/>
        </w:rPr>
        <w:t>and Reorganization Law, Litigation – Bankruptcy, 2013-2025</w:t>
      </w:r>
    </w:p>
    <w:p>
      <w:pPr>
        <w:pStyle w:val="BodyText"/>
        <w:spacing w:line="420" w:lineRule="auto" w:before="109"/>
        <w:ind w:right="958"/>
      </w:pPr>
      <w:r>
        <w:rPr>
          <w:color w:val="6E6158"/>
        </w:rPr>
        <w:t>AV</w:t>
      </w:r>
      <w:r>
        <w:rPr>
          <w:color w:val="6E6158"/>
          <w:position w:val="7"/>
          <w:sz w:val="16"/>
        </w:rPr>
        <w:t>® </w:t>
      </w:r>
      <w:r>
        <w:rPr>
          <w:color w:val="6E6158"/>
        </w:rPr>
        <w:t>Preeminent™ Peer Review Rated (the highest rating available), by Martindale-</w:t>
      </w:r>
      <w:r>
        <w:rPr>
          <w:color w:val="6E6158"/>
        </w:rPr>
        <w:t>Hubbell Top Lawyers, Phoenix Magazine, 2025</w:t>
      </w:r>
    </w:p>
    <w:p>
      <w:pPr>
        <w:pStyle w:val="Heading2"/>
        <w:spacing w:before="28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BodyText"/>
        <w:spacing w:line="420" w:lineRule="auto"/>
        <w:ind w:right="958"/>
      </w:pPr>
      <w:r>
        <w:rPr>
          <w:color w:val="6E6158"/>
        </w:rPr>
        <w:t>Speaker, “Successful 363 Sales,” State</w:t>
      </w:r>
      <w:r>
        <w:rPr>
          <w:color w:val="6E6158"/>
          <w:spacing w:val="40"/>
        </w:rPr>
        <w:t> </w:t>
      </w:r>
      <w:r>
        <w:rPr>
          <w:color w:val="6E6158"/>
        </w:rPr>
        <w:t>Bar of Arizona Bankruptcy Section, February 1, 2018</w:t>
      </w:r>
      <w:r>
        <w:rPr>
          <w:color w:val="6E6158"/>
          <w:spacing w:val="40"/>
        </w:rPr>
        <w:t> </w:t>
      </w:r>
      <w:r>
        <w:rPr>
          <w:color w:val="6E6158"/>
        </w:rPr>
        <w:t>Speaker,</w:t>
      </w:r>
      <w:r>
        <w:rPr>
          <w:color w:val="6E6158"/>
          <w:spacing w:val="11"/>
        </w:rPr>
        <w:t> </w:t>
      </w:r>
      <w:r>
        <w:rPr>
          <w:color w:val="6E6158"/>
        </w:rPr>
        <w:t>“The</w:t>
      </w:r>
      <w:r>
        <w:rPr>
          <w:color w:val="6E6158"/>
          <w:spacing w:val="12"/>
        </w:rPr>
        <w:t> </w:t>
      </w:r>
      <w:r>
        <w:rPr>
          <w:color w:val="6E6158"/>
        </w:rPr>
        <w:t>Symposium,”</w:t>
      </w:r>
      <w:r>
        <w:rPr>
          <w:color w:val="6E6158"/>
          <w:spacing w:val="12"/>
        </w:rPr>
        <w:t> </w:t>
      </w:r>
      <w:r>
        <w:rPr>
          <w:color w:val="6E6158"/>
        </w:rPr>
        <w:t>M&amp;A</w:t>
      </w:r>
      <w:r>
        <w:rPr>
          <w:color w:val="6E6158"/>
          <w:spacing w:val="12"/>
        </w:rPr>
        <w:t> </w:t>
      </w:r>
      <w:r>
        <w:rPr>
          <w:color w:val="6E6158"/>
        </w:rPr>
        <w:t>Advisor</w:t>
      </w:r>
      <w:r>
        <w:rPr>
          <w:color w:val="6E6158"/>
          <w:spacing w:val="12"/>
        </w:rPr>
        <w:t> </w:t>
      </w:r>
      <w:r>
        <w:rPr>
          <w:color w:val="6E6158"/>
        </w:rPr>
        <w:t>2017</w:t>
      </w:r>
      <w:r>
        <w:rPr>
          <w:color w:val="6E6158"/>
          <w:spacing w:val="12"/>
        </w:rPr>
        <w:t> </w:t>
      </w:r>
      <w:r>
        <w:rPr>
          <w:color w:val="6E6158"/>
        </w:rPr>
        <w:t>Distressed</w:t>
      </w:r>
      <w:r>
        <w:rPr>
          <w:color w:val="6E6158"/>
          <w:spacing w:val="12"/>
        </w:rPr>
        <w:t> </w:t>
      </w:r>
      <w:r>
        <w:rPr>
          <w:color w:val="6E6158"/>
        </w:rPr>
        <w:t>Investing</w:t>
      </w:r>
      <w:r>
        <w:rPr>
          <w:color w:val="6E6158"/>
          <w:spacing w:val="12"/>
        </w:rPr>
        <w:t> </w:t>
      </w:r>
      <w:r>
        <w:rPr>
          <w:color w:val="6E6158"/>
        </w:rPr>
        <w:t>Summit,</w:t>
      </w:r>
      <w:r>
        <w:rPr>
          <w:color w:val="6E6158"/>
          <w:spacing w:val="12"/>
        </w:rPr>
        <w:t> </w:t>
      </w:r>
      <w:r>
        <w:rPr>
          <w:color w:val="6E6158"/>
        </w:rPr>
        <w:t>March</w:t>
      </w:r>
      <w:r>
        <w:rPr>
          <w:color w:val="6E6158"/>
          <w:spacing w:val="12"/>
        </w:rPr>
        <w:t> </w:t>
      </w:r>
      <w:r>
        <w:rPr>
          <w:color w:val="6E6158"/>
        </w:rPr>
        <w:t>23,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2017</w:t>
      </w:r>
    </w:p>
    <w:p>
      <w:pPr>
        <w:pStyle w:val="BodyText"/>
        <w:spacing w:line="292" w:lineRule="auto"/>
        <w:ind w:right="958"/>
      </w:pPr>
      <w:r>
        <w:rPr>
          <w:color w:val="6E6158"/>
        </w:rPr>
        <w:t>Frequent lecturer at seminars sponsored by the Arizona State Bar, the Maricopa County Bar Association and Sterling Education Services</w:t>
      </w:r>
    </w:p>
    <w:p>
      <w:pPr>
        <w:pStyle w:val="BodyText"/>
        <w:spacing w:before="118"/>
        <w:ind w:left="0"/>
        <w:rPr>
          <w:sz w:val="24"/>
        </w:rPr>
      </w:pPr>
    </w:p>
    <w:p>
      <w:pPr>
        <w:pStyle w:val="Heading2"/>
        <w:spacing w:before="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jc w:val="both"/>
      </w:pPr>
      <w:r>
        <w:rPr>
          <w:color w:val="6E6158"/>
        </w:rPr>
        <w:t>Member,</w:t>
      </w:r>
      <w:r>
        <w:rPr>
          <w:color w:val="6E6158"/>
          <w:spacing w:val="4"/>
        </w:rPr>
        <w:t> </w:t>
      </w:r>
      <w:r>
        <w:rPr>
          <w:color w:val="6E6158"/>
        </w:rPr>
        <w:t>State</w:t>
      </w:r>
      <w:r>
        <w:rPr>
          <w:color w:val="6E6158"/>
          <w:spacing w:val="5"/>
        </w:rPr>
        <w:t> </w:t>
      </w:r>
      <w:r>
        <w:rPr>
          <w:color w:val="6E6158"/>
        </w:rPr>
        <w:t>Bar</w:t>
      </w:r>
      <w:r>
        <w:rPr>
          <w:color w:val="6E6158"/>
          <w:spacing w:val="5"/>
        </w:rPr>
        <w:t> </w:t>
      </w:r>
      <w:r>
        <w:rPr>
          <w:color w:val="6E6158"/>
        </w:rPr>
        <w:t>of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line="420" w:lineRule="auto" w:before="174"/>
        <w:ind w:right="5888"/>
        <w:jc w:val="both"/>
      </w:pPr>
      <w:r>
        <w:rPr>
          <w:color w:val="6E6158"/>
        </w:rPr>
        <w:t>Member, American Bankruptcy </w:t>
      </w:r>
      <w:r>
        <w:rPr>
          <w:color w:val="6E6158"/>
        </w:rPr>
        <w:t>Institute Member, Risk Management Association Member, INSOL International</w:t>
      </w:r>
    </w:p>
    <w:p>
      <w:pPr>
        <w:pStyle w:val="BodyText"/>
        <w:spacing w:before="6"/>
        <w:jc w:val="both"/>
      </w:pPr>
      <w:r>
        <w:rPr>
          <w:color w:val="6E6158"/>
        </w:rPr>
        <w:t>Member,</w:t>
      </w:r>
      <w:r>
        <w:rPr>
          <w:color w:val="6E6158"/>
          <w:spacing w:val="-2"/>
        </w:rPr>
        <w:t> </w:t>
      </w:r>
      <w:r>
        <w:rPr>
          <w:color w:val="6E6158"/>
        </w:rPr>
        <w:t>East</w:t>
      </w:r>
      <w:r>
        <w:rPr>
          <w:color w:val="6E6158"/>
          <w:spacing w:val="-1"/>
        </w:rPr>
        <w:t> </w:t>
      </w:r>
      <w:r>
        <w:rPr>
          <w:color w:val="6E6158"/>
        </w:rPr>
        <w:t>Valley</w:t>
      </w:r>
      <w:r>
        <w:rPr>
          <w:color w:val="6E6158"/>
          <w:spacing w:val="-1"/>
        </w:rPr>
        <w:t> </w:t>
      </w:r>
      <w:r>
        <w:rPr>
          <w:color w:val="6E6158"/>
          <w:spacing w:val="-2"/>
        </w:rPr>
        <w:t>Partnership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before="1"/>
      </w:pPr>
      <w:r>
        <w:rPr>
          <w:color w:val="6E6158"/>
          <w:spacing w:val="-2"/>
        </w:rPr>
        <w:t>Arizona</w:t>
      </w:r>
    </w:p>
    <w:p>
      <w:pPr>
        <w:pStyle w:val="BodyText"/>
        <w:spacing w:before="173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after="0"/>
        <w:sectPr>
          <w:pgSz w:w="12240" w:h="15840"/>
          <w:pgMar w:top="580" w:bottom="280" w:left="1440" w:right="1080"/>
        </w:sectPr>
      </w:pPr>
    </w:p>
    <w:p>
      <w:pPr>
        <w:pStyle w:val="BodyText"/>
        <w:spacing w:before="83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line="302" w:lineRule="auto" w:before="174"/>
        <w:ind w:right="958"/>
      </w:pPr>
      <w:r>
        <w:rPr>
          <w:color w:val="6E6158"/>
        </w:rPr>
        <w:t>Pro hac vice admissions in other districts throughout the United States, including </w:t>
      </w:r>
      <w:r>
        <w:rPr>
          <w:color w:val="6E6158"/>
        </w:rPr>
        <w:t>Bankruptcy</w:t>
      </w:r>
      <w:r>
        <w:rPr>
          <w:color w:val="6E6158"/>
          <w:spacing w:val="40"/>
        </w:rPr>
        <w:t> </w:t>
      </w:r>
      <w:r>
        <w:rPr>
          <w:color w:val="6E6158"/>
        </w:rPr>
        <w:t>Courts in California, Utah, Nevada, Kentucky and New York.</w:t>
      </w:r>
    </w:p>
    <w:p>
      <w:pPr>
        <w:pStyle w:val="BodyText"/>
        <w:spacing w:before="102"/>
        <w:ind w:left="0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LANGUAGES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Spanish,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Fluent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financial-restructuring-bankruptcy-creditors-rights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gshelley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Gerald L. Shelley - Fennemore</dc:title>
  <dcterms:created xsi:type="dcterms:W3CDTF">2026-06-12T10:16:38Z</dcterms:created>
  <dcterms:modified xsi:type="dcterms:W3CDTF">2026-06-12T10:16:38Z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