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274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848486</wp:posOffset>
                </wp:positionH>
                <wp:positionV relativeFrom="paragraph">
                  <wp:posOffset>-790522</wp:posOffset>
                </wp:positionV>
                <wp:extent cx="6071870" cy="4547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809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09114">
                                <a:moveTo>
                                  <a:pt x="6071591" y="1808559"/>
                                </a:moveTo>
                                <a:lnTo>
                                  <a:pt x="0" y="1808559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08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245899pt;width:478.1pt;height:358.05pt;mso-position-horizontal-relative:page;mso-position-vertical-relative:paragraph;z-index:-15820288" id="docshapegroup1" coordorigin="1336,-1245" coordsize="9562,7161">
                <v:rect style="position:absolute;left:1336;top:3067;width:9562;height:2849" id="docshape2" filled="true" fillcolor="#002e6d" stroked="false">
                  <v:fill type="solid"/>
                </v:rect>
                <v:shape style="position:absolute;left:1336;top:-1245;width:2165;height:424" type="#_x0000_t75" id="docshape3" alt="Fennemore" href="https://www.fennemorelaw.com/" stroked="false">
                  <v:imagedata r:id="rId5" o:title=""/>
                </v:shape>
                <v:shape style="position:absolute;left:1336;top:-822;width:9562;height:3890" type="#_x0000_t75" id="docshape4" stroked="false">
                  <v:imagedata r:id="rId7" o:title=""/>
                </v:shape>
                <v:rect style="position:absolute;left:1336;top:-822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Government Relations and </w:t>
      </w:r>
      <w:r>
        <w:rPr>
          <w:color w:val="FFFFFF"/>
          <w:spacing w:val="-2"/>
        </w:rPr>
        <w:t>Regulatory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7" w:lineRule="auto" w:before="0"/>
        <w:ind w:left="569" w:right="57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regulatory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attorneys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have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helped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develop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define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laws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shaping our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region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for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more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than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century.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We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serve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clients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at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all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levels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1"/>
          <w:w w:val="105"/>
          <w:sz w:val="22"/>
        </w:rPr>
        <w:t> </w:t>
      </w:r>
      <w:r>
        <w:rPr>
          <w:color w:val="FFFFFF"/>
          <w:w w:val="105"/>
          <w:sz w:val="22"/>
        </w:rPr>
        <w:t>state, county and municipal government as well as numerous federal</w:t>
      </w:r>
    </w:p>
    <w:p>
      <w:pPr>
        <w:spacing w:line="258" w:lineRule="exact" w:before="0"/>
        <w:ind w:left="0" w:right="4" w:firstLine="0"/>
        <w:jc w:val="center"/>
        <w:rPr>
          <w:sz w:val="22"/>
        </w:rPr>
      </w:pPr>
      <w:r>
        <w:rPr>
          <w:color w:val="FFFFFF"/>
          <w:spacing w:val="-2"/>
          <w:w w:val="105"/>
          <w:sz w:val="22"/>
        </w:rPr>
        <w:t>agencies.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59"/>
        <w:ind w:left="0"/>
        <w:rPr>
          <w:sz w:val="22"/>
        </w:rPr>
      </w:pPr>
    </w:p>
    <w:p>
      <w:pPr>
        <w:spacing w:line="348" w:lineRule="auto" w:before="0"/>
        <w:ind w:left="1009" w:right="1007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Today,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effective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government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affairs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legal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practice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must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possess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strategic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planning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tactical </w:t>
      </w:r>
      <w:r>
        <w:rPr>
          <w:color w:val="FFFFFF"/>
          <w:spacing w:val="-2"/>
          <w:sz w:val="16"/>
        </w:rPr>
        <w:t>implementation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skills.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regulatory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help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determine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outcomes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their best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interest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build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implement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achieve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those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outcomes.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goal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find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deliver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best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solutions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client.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member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State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Capital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Law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Firm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Group, an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organization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comprised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top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government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relations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legal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professionals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50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states,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selected </w:t>
      </w:r>
      <w:r>
        <w:rPr>
          <w:color w:val="FFFFFF"/>
          <w:sz w:val="16"/>
        </w:rPr>
        <w:t>on a one law firm per state basis.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496" w:right="252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-30903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GOVERNMENT</w:t>
        </w:r>
      </w:hyperlink>
      <w:r>
        <w:rPr>
          <w:spacing w:val="-2"/>
          <w:sz w:val="16"/>
        </w:rPr>
        <w:t> </w:t>
      </w:r>
      <w:hyperlink r:id="rId9">
        <w:r>
          <w:rPr>
            <w:sz w:val="16"/>
          </w:rPr>
          <w:t>RELATIONS 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REGULATORY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496" w:right="2527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5496" w:right="252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Alexis J.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Glascock</w:t>
        </w:r>
      </w:hyperlink>
    </w:p>
    <w:p>
      <w:pPr>
        <w:spacing w:line="144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602.916.5488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602.916.5688</w:t>
      </w:r>
    </w:p>
    <w:p>
      <w:pPr>
        <w:spacing w:line="266" w:lineRule="auto" w:before="15"/>
        <w:ind w:left="5496" w:right="2527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aglascock@fennemor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spacing w:before="260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APPEALS</w:t>
      </w:r>
    </w:p>
    <w:p>
      <w:pPr>
        <w:pStyle w:val="BodyText"/>
        <w:spacing w:line="297" w:lineRule="auto" w:before="146"/>
        <w:ind w:right="360"/>
      </w:pPr>
      <w:r>
        <w:rPr>
          <w:color w:val="6E6158"/>
        </w:rPr>
        <w:t>Our appellate attorneys regularly appear before the U.S. Courts of Appeals for the Ninth Circuit,</w:t>
      </w:r>
      <w:r>
        <w:rPr>
          <w:color w:val="6E6158"/>
          <w:spacing w:val="40"/>
        </w:rPr>
        <w:t> </w:t>
      </w:r>
      <w:r>
        <w:rPr>
          <w:color w:val="6E6158"/>
        </w:rPr>
        <w:t>Tenth Circuit and the U.S. Tax Court; the Supreme Court and Court of Appeals of Arizona; the Supreme Court and Court of Appeals of Nevada; and the Supreme Court and Court of Appeals</w:t>
      </w:r>
      <w:r>
        <w:rPr>
          <w:color w:val="6E6158"/>
          <w:spacing w:val="80"/>
        </w:rPr>
        <w:t> </w:t>
      </w:r>
      <w:r>
        <w:rPr>
          <w:color w:val="6E6158"/>
        </w:rPr>
        <w:t>of Colorado. We also participate in appeals before the U.S. Supreme Court and the U.S. Court of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District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Columbia</w:t>
      </w:r>
      <w:r>
        <w:rPr>
          <w:color w:val="6E6158"/>
          <w:spacing w:val="28"/>
        </w:rPr>
        <w:t> </w:t>
      </w:r>
      <w:r>
        <w:rPr>
          <w:color w:val="6E6158"/>
        </w:rPr>
        <w:t>Circuit,</w:t>
      </w:r>
      <w:r>
        <w:rPr>
          <w:color w:val="6E6158"/>
          <w:spacing w:val="28"/>
        </w:rPr>
        <w:t> </w:t>
      </w:r>
      <w:r>
        <w:rPr>
          <w:color w:val="6E6158"/>
        </w:rPr>
        <w:t>Fourth</w:t>
      </w:r>
      <w:r>
        <w:rPr>
          <w:color w:val="6E6158"/>
          <w:spacing w:val="28"/>
        </w:rPr>
        <w:t> </w:t>
      </w:r>
      <w:r>
        <w:rPr>
          <w:color w:val="6E6158"/>
        </w:rPr>
        <w:t>Circuit,</w:t>
      </w:r>
      <w:r>
        <w:rPr>
          <w:color w:val="6E6158"/>
          <w:spacing w:val="28"/>
        </w:rPr>
        <w:t> </w:t>
      </w:r>
      <w:r>
        <w:rPr>
          <w:color w:val="6E6158"/>
        </w:rPr>
        <w:t>Fifth</w:t>
      </w:r>
      <w:r>
        <w:rPr>
          <w:color w:val="6E6158"/>
          <w:spacing w:val="28"/>
        </w:rPr>
        <w:t> </w:t>
      </w:r>
      <w:r>
        <w:rPr>
          <w:color w:val="6E6158"/>
        </w:rPr>
        <w:t>Circuit,</w:t>
      </w:r>
      <w:r>
        <w:rPr>
          <w:color w:val="6E6158"/>
          <w:spacing w:val="28"/>
        </w:rPr>
        <w:t> </w:t>
      </w:r>
      <w:r>
        <w:rPr>
          <w:color w:val="6E6158"/>
        </w:rPr>
        <w:t>Eighth</w:t>
      </w:r>
      <w:r>
        <w:rPr>
          <w:color w:val="6E6158"/>
          <w:spacing w:val="28"/>
        </w:rPr>
        <w:t> </w:t>
      </w:r>
      <w:r>
        <w:rPr>
          <w:color w:val="6E6158"/>
        </w:rPr>
        <w:t>Circuit</w:t>
      </w:r>
      <w:r>
        <w:rPr>
          <w:color w:val="6E6158"/>
          <w:spacing w:val="28"/>
        </w:rPr>
        <w:t> </w:t>
      </w:r>
      <w:r>
        <w:rPr>
          <w:color w:val="6E6158"/>
        </w:rPr>
        <w:t>and Eleventh Circuit.</w:t>
      </w:r>
    </w:p>
    <w:p>
      <w:pPr>
        <w:pStyle w:val="BodyText"/>
        <w:spacing w:line="292" w:lineRule="auto" w:before="188"/>
      </w:pPr>
      <w:r>
        <w:rPr>
          <w:color w:val="6E6158"/>
        </w:rPr>
        <w:t>Our appellate legal services cover civil, administrative and regulatory law, with emphasis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following areas: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</w:pPr>
      <w:r>
        <w:rPr>
          <w:b/>
          <w:color w:val="6E6158"/>
        </w:rPr>
        <w:t>Constitutional and Public Law – </w:t>
      </w:r>
      <w:r>
        <w:rPr>
          <w:color w:val="6E6158"/>
        </w:rPr>
        <w:t>challenges to the validity under the United States and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constitutions of statutes and ordinances, state, local and municipal regulations and other</w:t>
      </w:r>
      <w:r>
        <w:rPr>
          <w:color w:val="6E6158"/>
          <w:spacing w:val="40"/>
        </w:rPr>
        <w:t> </w:t>
      </w:r>
      <w:r>
        <w:rPr>
          <w:color w:val="6E6158"/>
        </w:rPr>
        <w:t>government actions.</w:t>
      </w:r>
    </w:p>
    <w:p>
      <w:pPr>
        <w:spacing w:line="292" w:lineRule="auto" w:before="118"/>
        <w:ind w:left="99" w:right="0" w:firstLine="0"/>
        <w:jc w:val="left"/>
        <w:rPr>
          <w:sz w:val="19"/>
        </w:rPr>
      </w:pPr>
      <w:r>
        <w:rPr>
          <w:b/>
          <w:color w:val="6E6158"/>
          <w:sz w:val="19"/>
        </w:rPr>
        <w:t>Bankruptcy Law and Creditors’ Rights </w:t>
      </w:r>
      <w:r>
        <w:rPr>
          <w:color w:val="6E6158"/>
          <w:sz w:val="19"/>
        </w:rPr>
        <w:t>– appeals to the U.S. District Court and the Ninth Circuit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Bankruptcy Appellate Panel.</w:t>
      </w:r>
    </w:p>
    <w:p>
      <w:pPr>
        <w:spacing w:before="124"/>
        <w:ind w:left="99" w:right="0" w:firstLine="0"/>
        <w:jc w:val="left"/>
        <w:rPr>
          <w:sz w:val="19"/>
        </w:rPr>
      </w:pPr>
      <w:r>
        <w:rPr>
          <w:b/>
          <w:color w:val="6E6158"/>
          <w:sz w:val="19"/>
        </w:rPr>
        <w:t>Eminent</w:t>
      </w:r>
      <w:r>
        <w:rPr>
          <w:b/>
          <w:color w:val="6E6158"/>
          <w:spacing w:val="11"/>
          <w:sz w:val="19"/>
        </w:rPr>
        <w:t> </w:t>
      </w:r>
      <w:r>
        <w:rPr>
          <w:b/>
          <w:color w:val="6E6158"/>
          <w:sz w:val="19"/>
        </w:rPr>
        <w:t>Domain</w:t>
      </w:r>
      <w:r>
        <w:rPr>
          <w:b/>
          <w:color w:val="6E6158"/>
          <w:spacing w:val="11"/>
          <w:sz w:val="19"/>
        </w:rPr>
        <w:t> </w:t>
      </w:r>
      <w:r>
        <w:rPr>
          <w:b/>
          <w:color w:val="6E6158"/>
          <w:sz w:val="19"/>
        </w:rPr>
        <w:t>Law</w:t>
      </w:r>
      <w:r>
        <w:rPr>
          <w:b/>
          <w:color w:val="6E6158"/>
          <w:spacing w:val="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appeals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higher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connection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direct</w:t>
      </w:r>
    </w:p>
    <w:p>
      <w:pPr>
        <w:pStyle w:val="BodyText"/>
        <w:spacing w:line="292" w:lineRule="auto" w:before="60"/>
        <w:ind w:right="360"/>
      </w:pPr>
      <w:r>
        <w:rPr>
          <w:color w:val="6E6158"/>
        </w:rPr>
        <w:t>condemnations, inverse condemnations, regulatory takings, and claims for pre-</w:t>
      </w:r>
      <w:r>
        <w:rPr>
          <w:color w:val="6E6158"/>
        </w:rPr>
        <w:t>condemnation</w:t>
      </w:r>
      <w:r>
        <w:rPr>
          <w:color w:val="6E6158"/>
          <w:spacing w:val="40"/>
        </w:rPr>
        <w:t> </w:t>
      </w:r>
      <w:r>
        <w:rPr>
          <w:color w:val="6E6158"/>
        </w:rPr>
        <w:t>damages in the context of public projects, including pipelines, high voltage transmission lines,</w:t>
      </w:r>
      <w:r>
        <w:rPr>
          <w:color w:val="6E6158"/>
          <w:spacing w:val="40"/>
        </w:rPr>
        <w:t> </w:t>
      </w:r>
      <w:r>
        <w:rPr>
          <w:color w:val="6E6158"/>
        </w:rPr>
        <w:t>roads and freeways, buildings and redevelopment projects.</w:t>
      </w:r>
    </w:p>
    <w:p>
      <w:pPr>
        <w:pStyle w:val="BodyText"/>
        <w:spacing w:line="302" w:lineRule="auto" w:before="124"/>
        <w:ind w:right="360"/>
      </w:pPr>
      <w:r>
        <w:rPr>
          <w:b/>
          <w:color w:val="6E6158"/>
        </w:rPr>
        <w:t>Tax Law </w:t>
      </w:r>
      <w:r>
        <w:rPr>
          <w:color w:val="6E6158"/>
        </w:rPr>
        <w:t>– challenges to state and local ad valorem real property taxation, state and local sales,</w:t>
      </w:r>
      <w:r>
        <w:rPr>
          <w:color w:val="6E6158"/>
          <w:spacing w:val="40"/>
        </w:rPr>
        <w:t> </w:t>
      </w:r>
      <w:r>
        <w:rPr>
          <w:color w:val="6E6158"/>
        </w:rPr>
        <w:t>use and income taxation and federal income taxation.</w:t>
      </w:r>
    </w:p>
    <w:p>
      <w:pPr>
        <w:pStyle w:val="BodyText"/>
        <w:spacing w:line="292" w:lineRule="auto" w:before="112"/>
        <w:ind w:right="360"/>
      </w:pPr>
      <w:r>
        <w:rPr>
          <w:color w:val="6E6158"/>
        </w:rPr>
        <w:t>Real Property Law – actions to enforce mortgages, deeds of trust and restrictive covenants; and</w:t>
      </w:r>
      <w:r>
        <w:rPr>
          <w:color w:val="6E6158"/>
          <w:spacing w:val="40"/>
        </w:rPr>
        <w:t> </w:t>
      </w:r>
      <w:r>
        <w:rPr>
          <w:color w:val="6E6158"/>
        </w:rPr>
        <w:t>suits concerning title to minerals on private and public land.</w:t>
      </w:r>
    </w:p>
    <w:p>
      <w:pPr>
        <w:pStyle w:val="BodyText"/>
        <w:spacing w:line="297" w:lineRule="auto" w:before="124"/>
        <w:ind w:right="360"/>
      </w:pPr>
      <w:r>
        <w:rPr>
          <w:b/>
          <w:color w:val="6E6158"/>
        </w:rPr>
        <w:t>Natural Resources, Environmental and Water Law </w:t>
      </w:r>
      <w:r>
        <w:rPr>
          <w:color w:val="6E6158"/>
        </w:rPr>
        <w:t>– challenges to the U.S. Environmental</w:t>
      </w:r>
      <w:r>
        <w:rPr>
          <w:color w:val="6E6158"/>
          <w:spacing w:val="40"/>
        </w:rPr>
        <w:t> </w:t>
      </w:r>
      <w:r>
        <w:rPr>
          <w:color w:val="6E6158"/>
        </w:rPr>
        <w:t>Protection Agency’s adoption of rules and orders, and appeals from orders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Department of Water Resources and Arizona Department of Environmental Quality.</w:t>
      </w:r>
    </w:p>
    <w:p>
      <w:pPr>
        <w:pStyle w:val="BodyText"/>
        <w:spacing w:line="295" w:lineRule="auto" w:before="118"/>
        <w:ind w:right="360"/>
      </w:pPr>
      <w:r>
        <w:rPr>
          <w:b/>
          <w:color w:val="6E6158"/>
        </w:rPr>
        <w:t>Public Utility Law </w:t>
      </w:r>
      <w:r>
        <w:rPr>
          <w:color w:val="6E6158"/>
        </w:rPr>
        <w:t>– appeals from orders of the public utility commissions of Arizona and Nevada</w:t>
      </w:r>
      <w:r>
        <w:rPr>
          <w:color w:val="6E6158"/>
          <w:spacing w:val="40"/>
        </w:rPr>
        <w:t> </w:t>
      </w:r>
      <w:r>
        <w:rPr>
          <w:color w:val="6E6158"/>
        </w:rPr>
        <w:t>setting rates for and governing provision of service by public utilities; and appeals arising from</w:t>
      </w:r>
      <w:r>
        <w:rPr>
          <w:color w:val="6E6158"/>
          <w:spacing w:val="40"/>
        </w:rPr>
        <w:t> </w:t>
      </w:r>
      <w:r>
        <w:rPr>
          <w:color w:val="6E6158"/>
        </w:rPr>
        <w:t>suits and administrative proceedings involving the competing rights of corporations, governmental bodies and other entities to provide utility service.</w:t>
      </w:r>
    </w:p>
    <w:p>
      <w:pPr>
        <w:pStyle w:val="BodyText"/>
        <w:spacing w:line="302" w:lineRule="auto" w:before="123"/>
        <w:ind w:right="69"/>
      </w:pPr>
      <w:r>
        <w:rPr>
          <w:b/>
          <w:color w:val="6E6158"/>
        </w:rPr>
        <w:t>Tort Law </w:t>
      </w:r>
      <w:r>
        <w:rPr>
          <w:color w:val="6E6158"/>
        </w:rPr>
        <w:t>– appeals in cases involving product liability claims, medical negligence claims and</w:t>
      </w:r>
      <w:r>
        <w:rPr>
          <w:color w:val="6E6158"/>
          <w:spacing w:val="40"/>
        </w:rPr>
        <w:t> </w:t>
      </w:r>
      <w:r>
        <w:rPr>
          <w:color w:val="6E6158"/>
        </w:rPr>
        <w:t>business torts, such as antitrust, lender liability and insurance coverage claims.</w:t>
      </w:r>
    </w:p>
    <w:p>
      <w:pPr>
        <w:pStyle w:val="BodyText"/>
        <w:spacing w:line="292" w:lineRule="auto" w:before="113"/>
        <w:ind w:right="360"/>
      </w:pPr>
      <w:r>
        <w:rPr>
          <w:b/>
          <w:color w:val="6E6158"/>
        </w:rPr>
        <w:t>Commercial</w:t>
      </w:r>
      <w:r>
        <w:rPr>
          <w:b/>
          <w:color w:val="6E6158"/>
          <w:spacing w:val="31"/>
        </w:rPr>
        <w:t> </w:t>
      </w:r>
      <w:r>
        <w:rPr>
          <w:b/>
          <w:color w:val="6E6158"/>
        </w:rPr>
        <w:t>Litigation</w:t>
      </w:r>
      <w:r>
        <w:rPr>
          <w:b/>
          <w:color w:val="6E6158"/>
          <w:spacing w:val="29"/>
        </w:rPr>
        <w:t> </w:t>
      </w:r>
      <w:r>
        <w:rPr>
          <w:color w:val="6E6158"/>
        </w:rPr>
        <w:t>–</w:t>
      </w:r>
      <w:r>
        <w:rPr>
          <w:color w:val="6E6158"/>
          <w:spacing w:val="31"/>
        </w:rPr>
        <w:t> </w:t>
      </w:r>
      <w:r>
        <w:rPr>
          <w:color w:val="6E6158"/>
        </w:rPr>
        <w:t>appeals</w:t>
      </w:r>
      <w:r>
        <w:rPr>
          <w:color w:val="6E6158"/>
          <w:spacing w:val="31"/>
        </w:rPr>
        <w:t> </w:t>
      </w:r>
      <w:r>
        <w:rPr>
          <w:color w:val="6E6158"/>
        </w:rPr>
        <w:t>arising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claims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violations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securities</w:t>
      </w:r>
      <w:r>
        <w:rPr>
          <w:color w:val="6E6158"/>
          <w:spacing w:val="31"/>
        </w:rPr>
        <w:t> </w:t>
      </w:r>
      <w:r>
        <w:rPr>
          <w:color w:val="6E6158"/>
        </w:rPr>
        <w:t>laws,</w:t>
      </w:r>
      <w:r>
        <w:rPr>
          <w:color w:val="6E6158"/>
          <w:spacing w:val="31"/>
        </w:rPr>
        <w:t> </w:t>
      </w:r>
      <w:r>
        <w:rPr>
          <w:color w:val="6E6158"/>
        </w:rPr>
        <w:t>laws governing trade secrets and unfair competition, as well as disputes arising from every aspect of</w:t>
      </w:r>
      <w:r>
        <w:rPr>
          <w:color w:val="6E6158"/>
          <w:spacing w:val="40"/>
        </w:rPr>
        <w:t> </w:t>
      </w:r>
      <w:r>
        <w:rPr>
          <w:color w:val="6E6158"/>
        </w:rPr>
        <w:t>corporate and business transactions.</w:t>
      </w:r>
    </w:p>
    <w:p>
      <w:pPr>
        <w:pStyle w:val="BodyText"/>
        <w:spacing w:line="292" w:lineRule="auto" w:before="132"/>
        <w:ind w:right="360"/>
      </w:pPr>
      <w:r>
        <w:rPr>
          <w:b/>
          <w:color w:val="6E6158"/>
        </w:rPr>
        <w:t>Labor and Employment </w:t>
      </w:r>
      <w:r>
        <w:rPr>
          <w:color w:val="6E6158"/>
        </w:rPr>
        <w:t>– appeals primarily on behalf of employers from orders of the National</w:t>
      </w:r>
      <w:r>
        <w:rPr>
          <w:color w:val="6E6158"/>
          <w:spacing w:val="40"/>
        </w:rPr>
        <w:t> </w:t>
      </w:r>
      <w:r>
        <w:rPr>
          <w:color w:val="6E6158"/>
        </w:rPr>
        <w:t>Labor Relations Board and in cases involving breach of contract, wrongful discharge and</w:t>
      </w:r>
      <w:r>
        <w:rPr>
          <w:color w:val="6E6158"/>
          <w:spacing w:val="40"/>
        </w:rPr>
        <w:t> </w:t>
      </w:r>
      <w:r>
        <w:rPr>
          <w:color w:val="6E6158"/>
        </w:rPr>
        <w:t>discrimination claims.</w:t>
      </w:r>
    </w:p>
    <w:p>
      <w:pPr>
        <w:pStyle w:val="BodyText"/>
        <w:spacing w:before="13"/>
        <w:ind w:left="0"/>
      </w:pPr>
    </w:p>
    <w:p>
      <w:pPr>
        <w:pStyle w:val="BodyText"/>
        <w:spacing w:line="295" w:lineRule="auto"/>
        <w:ind w:right="360"/>
      </w:pPr>
      <w:r>
        <w:rPr>
          <w:color w:val="6E6158"/>
        </w:rPr>
        <w:t>One of our appellate attorneys formerly served as a judge on the Arizona Court of Appeals and</w:t>
      </w:r>
      <w:r>
        <w:rPr>
          <w:color w:val="6E6158"/>
          <w:spacing w:val="40"/>
        </w:rPr>
        <w:t> </w:t>
      </w:r>
      <w:r>
        <w:rPr>
          <w:color w:val="6E6158"/>
        </w:rPr>
        <w:t>previously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solicitor</w:t>
      </w:r>
      <w:r>
        <w:rPr>
          <w:color w:val="6E6158"/>
          <w:spacing w:val="27"/>
        </w:rPr>
        <w:t> </w:t>
      </w:r>
      <w:r>
        <w:rPr>
          <w:color w:val="6E6158"/>
        </w:rPr>
        <w:t>general,</w:t>
      </w:r>
      <w:r>
        <w:rPr>
          <w:color w:val="6E6158"/>
          <w:spacing w:val="27"/>
        </w:rPr>
        <w:t> </w:t>
      </w:r>
      <w:r>
        <w:rPr>
          <w:color w:val="6E6158"/>
        </w:rPr>
        <w:t>chief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section,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chair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Arizona attorney general’s open meeting law enforcement team. The practice chair, Tim Berg, is past</w:t>
      </w:r>
      <w:r>
        <w:rPr>
          <w:color w:val="6E6158"/>
          <w:spacing w:val="40"/>
        </w:rPr>
        <w:t> </w:t>
      </w:r>
      <w:r>
        <w:rPr>
          <w:color w:val="6E6158"/>
        </w:rPr>
        <w:t>president of the American Academy of Appellate Lawyers. Our attorneys have served and</w:t>
      </w:r>
      <w:r>
        <w:rPr>
          <w:color w:val="6E6158"/>
          <w:spacing w:val="40"/>
        </w:rPr>
        <w:t> </w:t>
      </w:r>
      <w:r>
        <w:rPr>
          <w:color w:val="6E6158"/>
        </w:rPr>
        <w:t>currently serve on the appellate handbook committee of the State Bar of Arizona and are</w:t>
      </w:r>
      <w:r>
        <w:rPr>
          <w:color w:val="6E6158"/>
          <w:spacing w:val="40"/>
        </w:rPr>
        <w:t> </w:t>
      </w:r>
      <w:r>
        <w:rPr>
          <w:color w:val="6E6158"/>
        </w:rPr>
        <w:t>responsible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chapters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handbook</w:t>
      </w:r>
      <w:r>
        <w:rPr>
          <w:color w:val="6E6158"/>
          <w:spacing w:val="27"/>
        </w:rPr>
        <w:t> </w:t>
      </w:r>
      <w:r>
        <w:rPr>
          <w:color w:val="6E6158"/>
        </w:rPr>
        <w:t>relating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attorneys’</w:t>
      </w:r>
      <w:r>
        <w:rPr>
          <w:color w:val="6E6158"/>
          <w:spacing w:val="27"/>
        </w:rPr>
        <w:t> </w:t>
      </w:r>
      <w:r>
        <w:rPr>
          <w:color w:val="6E6158"/>
        </w:rPr>
        <w:t>fees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appeal.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7"/>
        </w:rPr>
        <w:t> </w:t>
      </w:r>
      <w:r>
        <w:rPr>
          <w:color w:val="6E6158"/>
        </w:rPr>
        <w:t>also serve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advisory</w:t>
      </w:r>
      <w:r>
        <w:rPr>
          <w:color w:val="6E6158"/>
          <w:spacing w:val="27"/>
        </w:rPr>
        <w:t> </w:t>
      </w:r>
      <w:r>
        <w:rPr>
          <w:color w:val="6E6158"/>
        </w:rPr>
        <w:t>committee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Division</w:t>
      </w:r>
      <w:r>
        <w:rPr>
          <w:color w:val="6E6158"/>
          <w:spacing w:val="27"/>
        </w:rPr>
        <w:t> </w:t>
      </w:r>
      <w:r>
        <w:rPr>
          <w:color w:val="6E6158"/>
        </w:rPr>
        <w:t>One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Appeals.</w:t>
      </w:r>
    </w:p>
    <w:p>
      <w:pPr>
        <w:pStyle w:val="Heading2"/>
        <w:spacing w:before="165"/>
      </w:pPr>
      <w:r>
        <w:rPr>
          <w:color w:val="FF8100"/>
        </w:rPr>
        <w:t>AVIATION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302" w:lineRule="auto" w:before="147"/>
        <w:ind w:right="360"/>
      </w:pPr>
      <w:r>
        <w:rPr>
          <w:color w:val="6E6158"/>
        </w:rPr>
        <w:t>Our aviation aerospace attorneys are highly experienced in aviation law, driverless </w:t>
      </w:r>
      <w:r>
        <w:rPr>
          <w:color w:val="6E6158"/>
        </w:rPr>
        <w:t>car regulations and aerospace engineering legal needs.</w:t>
      </w:r>
    </w:p>
    <w:p>
      <w:pPr>
        <w:pStyle w:val="BodyText"/>
        <w:spacing w:line="292" w:lineRule="auto" w:before="186"/>
      </w:pPr>
      <w:r>
        <w:rPr>
          <w:color w:val="6E6158"/>
        </w:rPr>
        <w:t>Our attorneys have diverse legal knowledge and experience in the areas of airport and </w:t>
      </w:r>
      <w:r>
        <w:rPr>
          <w:color w:val="6E6158"/>
        </w:rPr>
        <w:t>airline</w:t>
      </w:r>
      <w:r>
        <w:rPr>
          <w:color w:val="6E6158"/>
          <w:spacing w:val="40"/>
        </w:rPr>
        <w:t> </w:t>
      </w:r>
      <w:r>
        <w:rPr>
          <w:color w:val="6E6158"/>
        </w:rPr>
        <w:t>representation,</w:t>
      </w:r>
      <w:r>
        <w:rPr>
          <w:color w:val="6E6158"/>
          <w:spacing w:val="40"/>
        </w:rPr>
        <w:t>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affairs,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laws,</w:t>
      </w:r>
      <w:r>
        <w:rPr>
          <w:color w:val="6E6158"/>
          <w:spacing w:val="40"/>
        </w:rPr>
        <w:t> </w:t>
      </w:r>
      <w:r>
        <w:rPr>
          <w:color w:val="6E6158"/>
        </w:rPr>
        <w:t>insurance,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</w:p>
    <w:p>
      <w:pPr>
        <w:pStyle w:val="BodyText"/>
        <w:spacing w:before="1"/>
      </w:pPr>
      <w:r>
        <w:rPr>
          <w:color w:val="6E6158"/>
        </w:rPr>
        <w:t>estate,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governance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finance,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regulation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contracting.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262"/>
        <w:jc w:val="both"/>
      </w:pPr>
      <w:r>
        <w:rPr>
          <w:color w:val="6E6158"/>
        </w:rPr>
        <w:t>We represent many segments of the aviation industry, including air carriers, airport and aviation related matters, airline use and lease agreements, public purchasing, public works, and federal law</w:t>
      </w:r>
      <w:r>
        <w:rPr>
          <w:color w:val="6E6158"/>
          <w:spacing w:val="27"/>
        </w:rPr>
        <w:t> </w:t>
      </w:r>
      <w:r>
        <w:rPr>
          <w:color w:val="6E6158"/>
        </w:rPr>
        <w:t>relating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airport</w:t>
      </w:r>
      <w:r>
        <w:rPr>
          <w:color w:val="6E6158"/>
          <w:spacing w:val="27"/>
        </w:rPr>
        <w:t> </w:t>
      </w:r>
      <w:r>
        <w:rPr>
          <w:color w:val="6E6158"/>
        </w:rPr>
        <w:t>issues.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have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worked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Aviation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60"/>
      </w:pPr>
      <w:r>
        <w:rPr>
          <w:color w:val="6E6158"/>
        </w:rPr>
        <w:t>Administration (FAA) and the U.S. Department of Transportation (DOT) and assist clients </w:t>
      </w:r>
      <w:r>
        <w:rPr>
          <w:color w:val="6E6158"/>
        </w:rPr>
        <w:t>with federal aviation regulations and laws.</w:t>
      </w:r>
    </w:p>
    <w:p>
      <w:pPr>
        <w:pStyle w:val="BodyText"/>
        <w:spacing w:line="292" w:lineRule="auto" w:before="205"/>
      </w:pPr>
      <w:r>
        <w:rPr>
          <w:color w:val="6E6158"/>
        </w:rPr>
        <w:t>In addition, our intellectual property group has specific technical experience in the fields of</w:t>
      </w:r>
      <w:r>
        <w:rPr>
          <w:color w:val="6E6158"/>
          <w:spacing w:val="40"/>
        </w:rPr>
        <w:t> </w:t>
      </w:r>
      <w:r>
        <w:rPr>
          <w:color w:val="6E6158"/>
        </w:rPr>
        <w:t>aerospace engineering, autonomous vehicle and control system design, geospatial </w:t>
      </w:r>
      <w:r>
        <w:rPr>
          <w:color w:val="6E6158"/>
        </w:rPr>
        <w:t>positioning</w:t>
      </w:r>
      <w:r>
        <w:rPr>
          <w:color w:val="6E6158"/>
          <w:spacing w:val="40"/>
        </w:rPr>
        <w:t> </w:t>
      </w:r>
      <w:r>
        <w:rPr>
          <w:color w:val="6E6158"/>
        </w:rPr>
        <w:t>systems, and wireless communications technologies.</w:t>
      </w:r>
    </w:p>
    <w:p>
      <w:pPr>
        <w:pStyle w:val="BodyText"/>
        <w:spacing w:line="302" w:lineRule="auto" w:before="197"/>
      </w:pPr>
      <w:r>
        <w:rPr>
          <w:color w:val="6E6158"/>
        </w:rPr>
        <w:t>Our aviation attorneys also have experience with international trade associations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membership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Steering</w:t>
      </w:r>
      <w:r>
        <w:rPr>
          <w:color w:val="6E6158"/>
          <w:spacing w:val="40"/>
        </w:rPr>
        <w:t>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Airports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International.</w:t>
      </w:r>
    </w:p>
    <w:p>
      <w:pPr>
        <w:pStyle w:val="BodyText"/>
        <w:spacing w:line="292" w:lineRule="auto" w:before="186"/>
      </w:pPr>
      <w:r>
        <w:rPr>
          <w:color w:val="6E6158"/>
        </w:rPr>
        <w:t>With related academic credentials, such as a degree in aerospace engineering, the insights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derive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diverse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enable</w:t>
      </w:r>
      <w:r>
        <w:rPr>
          <w:color w:val="6E6158"/>
          <w:spacing w:val="27"/>
        </w:rPr>
        <w:t> </w:t>
      </w:r>
      <w:r>
        <w:rPr>
          <w:color w:val="6E6158"/>
        </w:rPr>
        <w:t>us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achieve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goals</w:t>
      </w:r>
      <w:r>
        <w:rPr>
          <w:color w:val="6E6158"/>
          <w:spacing w:val="27"/>
        </w:rPr>
        <w:t> </w:t>
      </w:r>
      <w:r>
        <w:rPr>
          <w:color w:val="6E6158"/>
        </w:rPr>
        <w:t>more</w:t>
      </w:r>
      <w:r>
        <w:rPr>
          <w:color w:val="6E6158"/>
          <w:spacing w:val="27"/>
        </w:rPr>
        <w:t> </w:t>
      </w:r>
      <w:r>
        <w:rPr>
          <w:color w:val="6E6158"/>
        </w:rPr>
        <w:t>efficiently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  <w:spacing w:val="-2"/>
        </w:rPr>
        <w:t>effectively.</w:t>
      </w:r>
    </w:p>
    <w:p>
      <w:pPr>
        <w:pStyle w:val="Heading2"/>
        <w:spacing w:before="222"/>
      </w:pPr>
      <w:r>
        <w:rPr>
          <w:color w:val="FF8100"/>
        </w:rPr>
        <w:t>INDIAN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6"/>
      </w:pPr>
      <w:r>
        <w:rPr>
          <w:color w:val="6E6158"/>
        </w:rPr>
        <w:t>Our interaction with the American Indian tribes of the Southwest covers a wide range of practice</w:t>
      </w:r>
      <w:r>
        <w:rPr>
          <w:color w:val="6E6158"/>
          <w:spacing w:val="40"/>
        </w:rPr>
        <w:t> </w:t>
      </w:r>
      <w:r>
        <w:rPr>
          <w:color w:val="6E6158"/>
        </w:rPr>
        <w:t>areas related to business and development both on and off Indian lands.</w:t>
      </w:r>
    </w:p>
    <w:p>
      <w:pPr>
        <w:pStyle w:val="BodyText"/>
        <w:spacing w:line="302" w:lineRule="auto" w:before="197"/>
        <w:ind w:right="86"/>
      </w:pPr>
      <w:r>
        <w:rPr>
          <w:color w:val="6E6158"/>
        </w:rPr>
        <w:t>As one of the Southwest’s oldest and largest law firms, our experience with business intersecting</w:t>
      </w:r>
      <w:r>
        <w:rPr>
          <w:color w:val="6E6158"/>
          <w:spacing w:val="40"/>
        </w:rPr>
        <w:t> </w:t>
      </w:r>
      <w:r>
        <w:rPr>
          <w:color w:val="6E6158"/>
        </w:rPr>
        <w:t>tribal</w:t>
      </w:r>
      <w:r>
        <w:rPr>
          <w:color w:val="6E6158"/>
          <w:spacing w:val="23"/>
        </w:rPr>
        <w:t> </w:t>
      </w:r>
      <w:r>
        <w:rPr>
          <w:color w:val="6E6158"/>
        </w:rPr>
        <w:t>lands</w:t>
      </w:r>
      <w:r>
        <w:rPr>
          <w:color w:val="6E6158"/>
          <w:spacing w:val="23"/>
        </w:rPr>
        <w:t> </w:t>
      </w:r>
      <w:r>
        <w:rPr>
          <w:color w:val="6E6158"/>
        </w:rPr>
        <w:t>extends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early</w:t>
      </w:r>
      <w:r>
        <w:rPr>
          <w:color w:val="6E6158"/>
          <w:spacing w:val="23"/>
        </w:rPr>
        <w:t> </w:t>
      </w:r>
      <w:r>
        <w:rPr>
          <w:color w:val="6E6158"/>
        </w:rPr>
        <w:t>1900s.</w:t>
      </w:r>
      <w:r>
        <w:rPr>
          <w:color w:val="6E6158"/>
          <w:spacing w:val="23"/>
        </w:rPr>
        <w:t> </w:t>
      </w:r>
      <w:r>
        <w:rPr>
          <w:color w:val="6E6158"/>
        </w:rPr>
        <w:t>Then,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now,</w:t>
      </w:r>
      <w:r>
        <w:rPr>
          <w:color w:val="6E6158"/>
          <w:spacing w:val="23"/>
        </w:rPr>
        <w:t> </w:t>
      </w:r>
      <w:r>
        <w:rPr>
          <w:color w:val="6E6158"/>
        </w:rPr>
        <w:t>federal</w:t>
      </w:r>
      <w:r>
        <w:rPr>
          <w:color w:val="6E6158"/>
          <w:spacing w:val="23"/>
        </w:rPr>
        <w:t> </w:t>
      </w:r>
      <w:r>
        <w:rPr>
          <w:color w:val="6E6158"/>
        </w:rPr>
        <w:t>law,</w:t>
      </w:r>
      <w:r>
        <w:rPr>
          <w:color w:val="6E6158"/>
          <w:spacing w:val="23"/>
        </w:rPr>
        <w:t> </w:t>
      </w:r>
      <w:r>
        <w:rPr>
          <w:color w:val="6E6158"/>
        </w:rPr>
        <w:t>tribal</w:t>
      </w:r>
      <w:r>
        <w:rPr>
          <w:color w:val="6E6158"/>
          <w:spacing w:val="23"/>
        </w:rPr>
        <w:t> </w:t>
      </w:r>
      <w:r>
        <w:rPr>
          <w:color w:val="6E6158"/>
        </w:rPr>
        <w:t>governments,</w:t>
      </w:r>
      <w:r>
        <w:rPr>
          <w:color w:val="6E6158"/>
          <w:spacing w:val="23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/>
      </w:pPr>
      <w:r>
        <w:rPr>
          <w:color w:val="6E6158"/>
        </w:rPr>
        <w:t>law, the U.S. Bureau of Indian Affairs, and the U.S. Department of Interior frequently intersect on</w:t>
      </w:r>
      <w:r>
        <w:rPr>
          <w:color w:val="6E6158"/>
          <w:spacing w:val="40"/>
        </w:rPr>
        <w:t> </w:t>
      </w:r>
      <w:r>
        <w:rPr>
          <w:color w:val="6E6158"/>
        </w:rPr>
        <w:t>transactions or litigation involving tribes and entities doing business on Indian lands as well as with</w:t>
      </w:r>
      <w:r>
        <w:rPr>
          <w:color w:val="6E6158"/>
          <w:spacing w:val="40"/>
        </w:rPr>
        <w:t> </w:t>
      </w:r>
      <w:r>
        <w:rPr>
          <w:color w:val="6E6158"/>
        </w:rPr>
        <w:t>tribal governments.</w:t>
      </w:r>
    </w:p>
    <w:p>
      <w:pPr>
        <w:pStyle w:val="Heading4"/>
        <w:spacing w:before="196"/>
      </w:pPr>
      <w:r>
        <w:rPr>
          <w:color w:val="6E6158"/>
          <w:spacing w:val="-2"/>
        </w:rPr>
        <w:t>REPRESENTATION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Representation of client interests in the area of Indian law often draws upon the diverse and</w:t>
      </w:r>
      <w:r>
        <w:rPr>
          <w:color w:val="6E6158"/>
          <w:spacing w:val="40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specialized</w:t>
      </w:r>
      <w:r>
        <w:rPr>
          <w:color w:val="6E6158"/>
          <w:spacing w:val="35"/>
        </w:rPr>
        <w:t> </w:t>
      </w:r>
      <w:r>
        <w:rPr>
          <w:color w:val="6E6158"/>
        </w:rPr>
        <w:t>resources</w:t>
      </w:r>
      <w:r>
        <w:rPr>
          <w:color w:val="6E6158"/>
          <w:spacing w:val="35"/>
        </w:rPr>
        <w:t> </w:t>
      </w:r>
      <w:r>
        <w:rPr>
          <w:color w:val="6E6158"/>
        </w:rPr>
        <w:t>within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firm,</w:t>
      </w:r>
      <w:r>
        <w:rPr>
          <w:color w:val="6E6158"/>
          <w:spacing w:val="35"/>
        </w:rPr>
        <w:t> </w:t>
      </w:r>
      <w:r>
        <w:rPr>
          <w:color w:val="6E6158"/>
        </w:rPr>
        <w:t>ranging</w:t>
      </w:r>
      <w:r>
        <w:rPr>
          <w:color w:val="6E6158"/>
          <w:spacing w:val="35"/>
        </w:rPr>
        <w:t> </w:t>
      </w:r>
      <w:r>
        <w:rPr>
          <w:color w:val="6E6158"/>
        </w:rPr>
        <w:t>from</w:t>
      </w:r>
      <w:r>
        <w:rPr>
          <w:color w:val="6E6158"/>
          <w:spacing w:val="35"/>
        </w:rPr>
        <w:t> </w:t>
      </w:r>
      <w:r>
        <w:rPr>
          <w:color w:val="6E6158"/>
        </w:rPr>
        <w:t>government</w:t>
      </w:r>
      <w:r>
        <w:rPr>
          <w:color w:val="6E6158"/>
          <w:spacing w:val="35"/>
        </w:rPr>
        <w:t> </w:t>
      </w:r>
      <w:r>
        <w:rPr>
          <w:color w:val="6E6158"/>
        </w:rPr>
        <w:t>relations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</w:p>
    <w:p>
      <w:pPr>
        <w:pStyle w:val="BodyText"/>
        <w:spacing w:line="295" w:lineRule="auto" w:before="1"/>
        <w:ind w:right="86"/>
      </w:pPr>
      <w:r>
        <w:rPr>
          <w:color w:val="6E6158"/>
        </w:rPr>
        <w:t>taxation. This includes drawing upon knowledge of the challenges of commercial transactions in</w:t>
      </w:r>
      <w:r>
        <w:rPr>
          <w:color w:val="6E6158"/>
          <w:spacing w:val="40"/>
        </w:rPr>
        <w:t> </w:t>
      </w:r>
      <w:r>
        <w:rPr>
          <w:color w:val="6E6158"/>
        </w:rPr>
        <w:t>Indian Country, which Tim Berg helped address through a new national model of secured</w:t>
      </w:r>
      <w:r>
        <w:rPr>
          <w:color w:val="6E6158"/>
          <w:spacing w:val="40"/>
        </w:rPr>
        <w:t> </w:t>
      </w:r>
      <w:r>
        <w:rPr>
          <w:color w:val="6E6158"/>
        </w:rPr>
        <w:t>transactions law for America’s tribes. Released in 2005, the Model Tribal Secured Transactions Act</w:t>
      </w:r>
      <w:r>
        <w:rPr>
          <w:color w:val="6E6158"/>
          <w:spacing w:val="40"/>
        </w:rPr>
        <w:t> </w:t>
      </w:r>
      <w:r>
        <w:rPr>
          <w:color w:val="6E6158"/>
        </w:rPr>
        <w:t>was</w:t>
      </w:r>
      <w:r>
        <w:rPr>
          <w:color w:val="6E6158"/>
          <w:spacing w:val="30"/>
        </w:rPr>
        <w:t> </w:t>
      </w:r>
      <w:r>
        <w:rPr>
          <w:color w:val="6E6158"/>
        </w:rPr>
        <w:t>drafted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committee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National</w:t>
      </w:r>
      <w:r>
        <w:rPr>
          <w:color w:val="6E6158"/>
          <w:spacing w:val="30"/>
        </w:rPr>
        <w:t> </w:t>
      </w:r>
      <w:r>
        <w:rPr>
          <w:color w:val="6E6158"/>
        </w:rPr>
        <w:t>Conference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Commissioners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</w:p>
    <w:p>
      <w:pPr>
        <w:pStyle w:val="BodyText"/>
        <w:spacing w:line="295" w:lineRule="auto" w:before="1"/>
        <w:ind w:right="360"/>
      </w:pPr>
      <w:r>
        <w:rPr>
          <w:color w:val="6E6158"/>
        </w:rPr>
        <w:t>Laws, chaired by Tim. The model act provides a secured transactions law for American Indian</w:t>
      </w:r>
      <w:r>
        <w:rPr>
          <w:color w:val="6E6158"/>
          <w:spacing w:val="40"/>
        </w:rPr>
        <w:t> </w:t>
      </w:r>
      <w:r>
        <w:rPr>
          <w:color w:val="6E6158"/>
        </w:rPr>
        <w:t>tribes modeled after the Uniform Commercial Code Article 9, which is the basis for commercial</w:t>
      </w:r>
      <w:r>
        <w:rPr>
          <w:color w:val="6E6158"/>
          <w:spacing w:val="40"/>
        </w:rPr>
        <w:t> </w:t>
      </w:r>
      <w:r>
        <w:rPr>
          <w:color w:val="6E6158"/>
        </w:rPr>
        <w:t>transactions across the country and is designed to assist the country’s tribes, tribal entities and</w:t>
      </w:r>
      <w:r>
        <w:rPr>
          <w:color w:val="6E6158"/>
          <w:spacing w:val="40"/>
        </w:rPr>
        <w:t> </w:t>
      </w:r>
      <w:r>
        <w:rPr>
          <w:color w:val="6E6158"/>
        </w:rPr>
        <w:t>members to secure financing for commercial ventures.</w:t>
      </w:r>
    </w:p>
    <w:p>
      <w:pPr>
        <w:pStyle w:val="Heading4"/>
        <w:spacing w:before="205"/>
      </w:pPr>
      <w:r>
        <w:rPr>
          <w:color w:val="6E6158"/>
        </w:rPr>
        <w:t>COMMERCIAL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TRANSACTIONS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350"/>
        <w:jc w:val="both"/>
      </w:pPr>
      <w:r>
        <w:rPr>
          <w:color w:val="6E6158"/>
        </w:rPr>
        <w:t>Our commercial transactional experience on Indian lands includes such diverse matters as </w:t>
      </w:r>
      <w:r>
        <w:rPr>
          <w:color w:val="6E6158"/>
        </w:rPr>
        <w:t>site selection and contracts for a proposed sports stadium; fuel contracts; construction and design contracts;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sale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real</w:t>
      </w:r>
      <w:r>
        <w:rPr>
          <w:color w:val="6E6158"/>
          <w:spacing w:val="24"/>
        </w:rPr>
        <w:t> </w:t>
      </w:r>
      <w:r>
        <w:rPr>
          <w:color w:val="6E6158"/>
        </w:rPr>
        <w:t>property</w:t>
      </w:r>
      <w:r>
        <w:rPr>
          <w:color w:val="6E6158"/>
          <w:spacing w:val="24"/>
        </w:rPr>
        <w:t> </w:t>
      </w:r>
      <w:r>
        <w:rPr>
          <w:color w:val="6E6158"/>
        </w:rPr>
        <w:t>involving</w:t>
      </w:r>
      <w:r>
        <w:rPr>
          <w:color w:val="6E6158"/>
          <w:spacing w:val="24"/>
        </w:rPr>
        <w:t> </w:t>
      </w:r>
      <w:r>
        <w:rPr>
          <w:color w:val="6E6158"/>
        </w:rPr>
        <w:t>tribal</w:t>
      </w:r>
      <w:r>
        <w:rPr>
          <w:color w:val="6E6158"/>
          <w:spacing w:val="24"/>
        </w:rPr>
        <w:t> </w:t>
      </w:r>
      <w:r>
        <w:rPr>
          <w:color w:val="6E6158"/>
        </w:rPr>
        <w:t>assets;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businesses</w:t>
      </w:r>
      <w:r>
        <w:rPr>
          <w:color w:val="6E6158"/>
          <w:spacing w:val="24"/>
        </w:rPr>
        <w:t> </w:t>
      </w:r>
      <w:r>
        <w:rPr>
          <w:color w:val="6E6158"/>
        </w:rPr>
        <w:t>sold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tribal</w:t>
      </w:r>
      <w:r>
        <w:rPr>
          <w:color w:val="6E6158"/>
          <w:spacing w:val="24"/>
        </w:rPr>
        <w:t> </w:t>
      </w:r>
      <w:r>
        <w:rPr>
          <w:color w:val="6E6158"/>
        </w:rPr>
        <w:t>entities.</w:t>
      </w:r>
    </w:p>
    <w:p>
      <w:pPr>
        <w:pStyle w:val="Heading4"/>
        <w:spacing w:before="206"/>
      </w:pP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DEVELOPMENT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400"/>
      </w:pPr>
      <w:r>
        <w:rPr>
          <w:color w:val="6E6158"/>
        </w:rPr>
        <w:t>There is a growing trend toward increased commercial development on Indian lands, particularly near urban centers. Our Indian law attorneys represent commercial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industrial</w:t>
      </w:r>
      <w:r>
        <w:rPr>
          <w:color w:val="6E6158"/>
          <w:spacing w:val="26"/>
        </w:rPr>
        <w:t> </w:t>
      </w:r>
      <w:r>
        <w:rPr>
          <w:color w:val="6E6158"/>
        </w:rPr>
        <w:t>interests,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well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retail</w:t>
      </w:r>
      <w:r>
        <w:rPr>
          <w:color w:val="6E6158"/>
          <w:spacing w:val="26"/>
        </w:rPr>
        <w:t> </w:t>
      </w:r>
      <w:r>
        <w:rPr>
          <w:color w:val="6E6158"/>
        </w:rPr>
        <w:t>businesses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existing</w:t>
      </w:r>
      <w:r>
        <w:rPr>
          <w:color w:val="6E6158"/>
          <w:spacing w:val="26"/>
        </w:rPr>
        <w:t> </w:t>
      </w:r>
      <w:r>
        <w:rPr>
          <w:color w:val="6E6158"/>
        </w:rPr>
        <w:t>or</w:t>
      </w:r>
      <w:r>
        <w:rPr>
          <w:color w:val="6E6158"/>
          <w:spacing w:val="26"/>
        </w:rPr>
        <w:t> </w:t>
      </w:r>
      <w:r>
        <w:rPr>
          <w:color w:val="6E6158"/>
        </w:rPr>
        <w:t>planned</w:t>
      </w:r>
      <w:r>
        <w:rPr>
          <w:color w:val="6E6158"/>
          <w:spacing w:val="26"/>
        </w:rPr>
        <w:t> </w:t>
      </w:r>
      <w:r>
        <w:rPr>
          <w:color w:val="6E6158"/>
        </w:rPr>
        <w:t>projects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Indian</w:t>
      </w:r>
    </w:p>
    <w:p>
      <w:pPr>
        <w:pStyle w:val="BodyText"/>
        <w:spacing w:line="292" w:lineRule="auto" w:before="10"/>
      </w:pPr>
      <w:r>
        <w:rPr>
          <w:color w:val="6E6158"/>
        </w:rPr>
        <w:t>lands. Real estate legal services include master ground leases, intergovernmental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8"/>
        </w:rPr>
        <w:t> </w:t>
      </w:r>
      <w:r>
        <w:rPr>
          <w:color w:val="6E6158"/>
        </w:rPr>
        <w:t>leases,</w:t>
      </w:r>
      <w:r>
        <w:rPr>
          <w:color w:val="6E6158"/>
          <w:spacing w:val="38"/>
        </w:rPr>
        <w:t> </w:t>
      </w:r>
      <w:r>
        <w:rPr>
          <w:color w:val="6E6158"/>
        </w:rPr>
        <w:t>CC&amp;Rs,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agreements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both</w:t>
      </w:r>
      <w:r>
        <w:rPr>
          <w:color w:val="6E6158"/>
          <w:spacing w:val="38"/>
        </w:rPr>
        <w:t> </w:t>
      </w:r>
      <w:r>
        <w:rPr>
          <w:color w:val="6E6158"/>
        </w:rPr>
        <w:t>large-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small-scale</w:t>
      </w:r>
    </w:p>
    <w:p>
      <w:pPr>
        <w:pStyle w:val="BodyText"/>
        <w:spacing w:before="1"/>
      </w:pPr>
      <w:r>
        <w:rPr>
          <w:color w:val="6E6158"/>
          <w:spacing w:val="-2"/>
        </w:rPr>
        <w:t>projects.</w:t>
      </w:r>
    </w:p>
    <w:p>
      <w:pPr>
        <w:pStyle w:val="BodyText"/>
        <w:spacing w:before="14"/>
        <w:ind w:left="0"/>
      </w:pPr>
    </w:p>
    <w:p>
      <w:pPr>
        <w:pStyle w:val="Heading4"/>
      </w:pPr>
      <w:r>
        <w:rPr>
          <w:color w:val="6E6158"/>
          <w:spacing w:val="-2"/>
        </w:rPr>
        <w:t>LITIGATION</w:t>
      </w:r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400"/>
      </w:pPr>
      <w:r>
        <w:rPr>
          <w:color w:val="6E6158"/>
        </w:rPr>
        <w:t>The litigation experience held by our Indian law attorneys includes property and possessory</w:t>
      </w:r>
      <w:r>
        <w:rPr>
          <w:color w:val="6E6158"/>
          <w:spacing w:val="40"/>
        </w:rPr>
        <w:t> </w:t>
      </w:r>
      <w:r>
        <w:rPr>
          <w:color w:val="6E6158"/>
        </w:rPr>
        <w:t>interest tax, construction defects, commercial finance, product liability, professional services,</w:t>
      </w:r>
      <w:r>
        <w:rPr>
          <w:color w:val="6E6158"/>
          <w:spacing w:val="40"/>
        </w:rPr>
        <w:t> </w:t>
      </w:r>
      <w:r>
        <w:rPr>
          <w:color w:val="6E6158"/>
        </w:rPr>
        <w:t>and jurisdiction and trespass disputes that involve either tribal lands or interests. Our attorneys</w:t>
      </w:r>
      <w:r>
        <w:rPr>
          <w:color w:val="6E6158"/>
          <w:spacing w:val="40"/>
        </w:rPr>
        <w:t> </w:t>
      </w:r>
      <w:r>
        <w:rPr>
          <w:color w:val="6E6158"/>
        </w:rPr>
        <w:t>represent clients on a variety of commercial disputes, as well as tort claims, including personal</w:t>
      </w:r>
      <w:r>
        <w:rPr>
          <w:color w:val="6E6158"/>
          <w:spacing w:val="40"/>
        </w:rPr>
        <w:t> </w:t>
      </w:r>
      <w:r>
        <w:rPr>
          <w:color w:val="6E6158"/>
        </w:rPr>
        <w:t>injury, professional disputes and product liability matters.</w:t>
      </w:r>
    </w:p>
    <w:p>
      <w:pPr>
        <w:pStyle w:val="Heading4"/>
        <w:spacing w:before="195"/>
      </w:pPr>
      <w:r>
        <w:rPr>
          <w:color w:val="6E6158"/>
        </w:rPr>
        <w:t>TAX</w:t>
      </w:r>
      <w:r>
        <w:rPr>
          <w:color w:val="6E6158"/>
          <w:spacing w:val="6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292"/>
      </w:pPr>
      <w:r>
        <w:rPr>
          <w:color w:val="6E6158"/>
        </w:rPr>
        <w:t>Conducting business on Indian lands often entails complex taxation questions, such as </w:t>
      </w:r>
      <w:r>
        <w:rPr>
          <w:color w:val="6E6158"/>
        </w:rPr>
        <w:t>taxation</w:t>
      </w:r>
      <w:r>
        <w:rPr>
          <w:color w:val="6E6158"/>
          <w:spacing w:val="80"/>
        </w:rPr>
        <w:t> </w:t>
      </w:r>
      <w:r>
        <w:rPr>
          <w:color w:val="6E6158"/>
        </w:rPr>
        <w:t>of leasehold interests. Our </w:t>
      </w:r>
      <w:hyperlink r:id="rId14">
        <w:r>
          <w:rPr>
            <w:color w:val="FF8100"/>
          </w:rPr>
          <w:t>tax attorneys</w:t>
        </w:r>
      </w:hyperlink>
      <w:r>
        <w:rPr>
          <w:color w:val="FF8100"/>
        </w:rPr>
        <w:t> </w:t>
      </w:r>
      <w:r>
        <w:rPr>
          <w:color w:val="6E6158"/>
        </w:rPr>
        <w:t>are experienced in property and possessory interest</w:t>
      </w:r>
      <w:r>
        <w:rPr>
          <w:color w:val="6E6158"/>
          <w:spacing w:val="40"/>
        </w:rPr>
        <w:t> </w:t>
      </w:r>
      <w:r>
        <w:rPr>
          <w:color w:val="6E6158"/>
        </w:rPr>
        <w:t>taxation on Indian lands for a wide range of businesses, such as energy companies, natural</w:t>
      </w:r>
      <w:r>
        <w:rPr>
          <w:color w:val="6E6158"/>
          <w:spacing w:val="40"/>
        </w:rPr>
        <w:t> </w:t>
      </w:r>
      <w:r>
        <w:rPr>
          <w:color w:val="6E6158"/>
        </w:rPr>
        <w:t>resource-based projects, utility infrastructure, and commercial ventures.</w:t>
      </w:r>
    </w:p>
    <w:p>
      <w:pPr>
        <w:pStyle w:val="Heading2"/>
        <w:spacing w:before="172"/>
      </w:pPr>
      <w:r>
        <w:rPr>
          <w:color w:val="FF8100"/>
        </w:rPr>
        <w:t>INSURANCE</w:t>
      </w:r>
      <w:r>
        <w:rPr>
          <w:color w:val="FF8100"/>
          <w:spacing w:val="7"/>
        </w:rPr>
        <w:t> </w:t>
      </w:r>
      <w:r>
        <w:rPr>
          <w:color w:val="FF8100"/>
        </w:rPr>
        <w:t>LAW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REGULATION</w:t>
      </w:r>
    </w:p>
    <w:p>
      <w:pPr>
        <w:pStyle w:val="BodyText"/>
        <w:spacing w:line="292" w:lineRule="auto" w:before="147"/>
      </w:pPr>
      <w:r>
        <w:rPr>
          <w:color w:val="6E6158"/>
        </w:rPr>
        <w:t>Our insurance law and regulation attorneys have represented numerous insurance companies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connection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licensure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regulation.</w:t>
      </w:r>
      <w:r>
        <w:rPr>
          <w:color w:val="6E6158"/>
          <w:spacing w:val="33"/>
        </w:rPr>
        <w:t> </w:t>
      </w:r>
      <w:r>
        <w:rPr>
          <w:color w:val="6E6158"/>
        </w:rPr>
        <w:t>We</w:t>
      </w:r>
      <w:r>
        <w:rPr>
          <w:color w:val="6E6158"/>
          <w:spacing w:val="33"/>
        </w:rPr>
        <w:t> </w:t>
      </w:r>
      <w:r>
        <w:rPr>
          <w:color w:val="6E6158"/>
        </w:rPr>
        <w:t>have</w:t>
      </w:r>
      <w:r>
        <w:rPr>
          <w:color w:val="6E6158"/>
          <w:spacing w:val="33"/>
        </w:rPr>
        <w:t> </w:t>
      </w:r>
      <w:r>
        <w:rPr>
          <w:color w:val="6E6158"/>
        </w:rPr>
        <w:t>experience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matters</w:t>
      </w:r>
      <w:r>
        <w:rPr>
          <w:color w:val="6E6158"/>
          <w:spacing w:val="33"/>
        </w:rPr>
        <w:t> </w:t>
      </w:r>
      <w:r>
        <w:rPr>
          <w:color w:val="6E6158"/>
        </w:rPr>
        <w:t>pertaining</w:t>
      </w:r>
      <w:r>
        <w:rPr>
          <w:color w:val="6E6158"/>
          <w:spacing w:val="33"/>
        </w:rPr>
        <w:t> </w:t>
      </w:r>
      <w:r>
        <w:rPr>
          <w:color w:val="6E6158"/>
        </w:rPr>
        <w:t>to:</w:t>
      </w:r>
    </w:p>
    <w:p>
      <w:pPr>
        <w:pStyle w:val="BodyText"/>
        <w:spacing w:before="196"/>
      </w:pP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400" w:lineRule="atLeast" w:before="15"/>
      </w:pPr>
      <w:r>
        <w:rPr>
          <w:color w:val="6E6158"/>
        </w:rPr>
        <w:t>Obtaining Certificates of Authority for indemnity insurers and health maintenance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Communicating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responding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departments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insurance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Nevada,</w:t>
      </w:r>
      <w:r>
        <w:rPr>
          <w:color w:val="6E6158"/>
          <w:spacing w:val="34"/>
        </w:rPr>
        <w:t> </w:t>
      </w:r>
      <w:r>
        <w:rPr>
          <w:color w:val="6E6158"/>
        </w:rPr>
        <w:t>Arizona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before="59"/>
      </w:pPr>
      <w:r>
        <w:rPr>
          <w:color w:val="6E6158"/>
          <w:spacing w:val="-2"/>
        </w:rPr>
        <w:t>Colorado</w:t>
      </w:r>
    </w:p>
    <w:p>
      <w:pPr>
        <w:pStyle w:val="BodyText"/>
        <w:spacing w:line="422" w:lineRule="auto" w:before="174"/>
        <w:ind w:right="2265"/>
      </w:pPr>
      <w:r>
        <w:rPr>
          <w:color w:val="6E6158"/>
        </w:rPr>
        <w:t>Representing insurance companies in mergers and acquisitions Representing insurance companies at regulatory and disciplinary </w:t>
      </w:r>
      <w:r>
        <w:rPr>
          <w:color w:val="6E6158"/>
        </w:rPr>
        <w:t>hearings Structuring insurance company relationships with healthcare providers Writing plans of operation for medical professional liability companies</w:t>
      </w:r>
    </w:p>
    <w:p>
      <w:pPr>
        <w:pStyle w:val="BodyText"/>
        <w:spacing w:line="427" w:lineRule="auto"/>
        <w:ind w:right="1144"/>
      </w:pPr>
      <w:r>
        <w:rPr>
          <w:color w:val="6E6158"/>
        </w:rPr>
        <w:t>Advising insurance companies regarding policy provisions and regulatory </w:t>
      </w:r>
      <w:r>
        <w:rPr>
          <w:color w:val="6E6158"/>
        </w:rPr>
        <w:t>requirements Forming and obtaining licensure for third party administrators</w:t>
      </w:r>
    </w:p>
    <w:p>
      <w:pPr>
        <w:pStyle w:val="BodyText"/>
        <w:spacing w:line="292" w:lineRule="auto"/>
      </w:pPr>
      <w:r>
        <w:rPr>
          <w:color w:val="6E6158"/>
        </w:rPr>
        <w:t>Forming, obtaining licensure for and advising captive insurance companies, risk retention </w:t>
      </w:r>
      <w:r>
        <w:rPr>
          <w:color w:val="6E6158"/>
        </w:rPr>
        <w:t>groups,</w:t>
      </w:r>
      <w:r>
        <w:rPr>
          <w:color w:val="6E6158"/>
          <w:spacing w:val="40"/>
        </w:rPr>
        <w:t> </w:t>
      </w:r>
      <w:r>
        <w:rPr>
          <w:color w:val="6E6158"/>
        </w:rPr>
        <w:t>mutual and reciprocal insurers</w:t>
      </w:r>
    </w:p>
    <w:p>
      <w:pPr>
        <w:pStyle w:val="BodyText"/>
        <w:spacing w:before="1"/>
        <w:ind w:left="0"/>
      </w:pPr>
    </w:p>
    <w:p>
      <w:pPr>
        <w:pStyle w:val="BodyText"/>
        <w:spacing w:line="302" w:lineRule="auto"/>
        <w:ind w:right="360"/>
      </w:pPr>
      <w:r>
        <w:rPr>
          <w:color w:val="6E6158"/>
        </w:rPr>
        <w:t>Our insurance law attorneys also advise self-insured employers and trusts on regulatory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and contract negotiations.</w:t>
      </w:r>
    </w:p>
    <w:p>
      <w:pPr>
        <w:pStyle w:val="Heading2"/>
        <w:spacing w:before="152"/>
      </w:pPr>
      <w:r>
        <w:rPr>
          <w:color w:val="FF8100"/>
        </w:rPr>
        <w:t>LIQUOR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LICENSING</w:t>
      </w:r>
    </w:p>
    <w:p>
      <w:pPr>
        <w:pStyle w:val="BodyText"/>
        <w:spacing w:before="146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liquor</w:t>
      </w:r>
      <w:r>
        <w:rPr>
          <w:color w:val="6E6158"/>
          <w:spacing w:val="14"/>
        </w:rPr>
        <w:t> </w:t>
      </w:r>
      <w:r>
        <w:rPr>
          <w:color w:val="6E6158"/>
        </w:rPr>
        <w:t>licensing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3"/>
        </w:rPr>
        <w:t> </w:t>
      </w:r>
      <w:r>
        <w:rPr>
          <w:color w:val="6E6158"/>
        </w:rPr>
        <w:t>regularly</w:t>
      </w:r>
      <w:r>
        <w:rPr>
          <w:color w:val="6E6158"/>
          <w:spacing w:val="14"/>
        </w:rPr>
        <w:t> </w:t>
      </w:r>
      <w:r>
        <w:rPr>
          <w:color w:val="6E6158"/>
        </w:rPr>
        <w:t>assist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with: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 w:before="1"/>
        <w:ind w:right="2761"/>
      </w:pPr>
      <w:r>
        <w:rPr>
          <w:color w:val="6E6158"/>
        </w:rPr>
        <w:t>Representation before local licensing authorities in </w:t>
      </w:r>
      <w:r>
        <w:rPr>
          <w:color w:val="6E6158"/>
        </w:rPr>
        <w:t>Nevada Preparation of all required documentation</w:t>
      </w:r>
    </w:p>
    <w:p>
      <w:pPr>
        <w:pStyle w:val="BodyText"/>
        <w:spacing w:line="226" w:lineRule="exact"/>
      </w:pPr>
      <w:r>
        <w:rPr>
          <w:color w:val="6E6158"/>
        </w:rPr>
        <w:t>Coordinate</w:t>
      </w:r>
      <w:r>
        <w:rPr>
          <w:color w:val="6E6158"/>
          <w:spacing w:val="13"/>
        </w:rPr>
        <w:t> </w:t>
      </w:r>
      <w:r>
        <w:rPr>
          <w:color w:val="6E6158"/>
        </w:rPr>
        <w:t>submission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all</w:t>
      </w:r>
      <w:r>
        <w:rPr>
          <w:color w:val="6E6158"/>
          <w:spacing w:val="13"/>
        </w:rPr>
        <w:t> </w:t>
      </w:r>
      <w:r>
        <w:rPr>
          <w:color w:val="6E6158"/>
        </w:rPr>
        <w:t>required</w:t>
      </w:r>
      <w:r>
        <w:rPr>
          <w:color w:val="6E6158"/>
          <w:spacing w:val="13"/>
        </w:rPr>
        <w:t> </w:t>
      </w:r>
      <w:r>
        <w:rPr>
          <w:color w:val="6E6158"/>
        </w:rPr>
        <w:t>materials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4"/>
        </w:rPr>
        <w:t> </w:t>
      </w:r>
      <w:r>
        <w:rPr>
          <w:color w:val="6E6158"/>
        </w:rPr>
        <w:t>licensing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PLANNING,</w:t>
      </w:r>
      <w:r>
        <w:rPr>
          <w:color w:val="FF8100"/>
          <w:spacing w:val="8"/>
        </w:rPr>
        <w:t> </w:t>
      </w:r>
      <w:r>
        <w:rPr>
          <w:color w:val="FF8100"/>
        </w:rPr>
        <w:t>ZONING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LAND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USE</w:t>
      </w:r>
    </w:p>
    <w:p>
      <w:pPr>
        <w:pStyle w:val="BodyText"/>
        <w:spacing w:line="295" w:lineRule="auto" w:before="146"/>
        <w:ind w:right="360"/>
      </w:pPr>
      <w:r>
        <w:rPr>
          <w:color w:val="6E6158"/>
        </w:rPr>
        <w:t>Our land use attorneys take major development projects from inception to approval of all</w:t>
      </w:r>
      <w:r>
        <w:rPr>
          <w:color w:val="6E6158"/>
          <w:spacing w:val="80"/>
        </w:rPr>
        <w:t> </w:t>
      </w:r>
      <w:r>
        <w:rPr>
          <w:color w:val="6E6158"/>
        </w:rPr>
        <w:t>required land use permits and entitlements. We also assist clients in obtaining traditional land use</w:t>
      </w:r>
      <w:r>
        <w:rPr>
          <w:color w:val="6E6158"/>
          <w:spacing w:val="40"/>
        </w:rPr>
        <w:t> </w:t>
      </w:r>
      <w:r>
        <w:rPr>
          <w:color w:val="6E6158"/>
        </w:rPr>
        <w:t>approvals and facilitate coordination with all departments of local government to address all</w:t>
      </w:r>
      <w:r>
        <w:rPr>
          <w:color w:val="6E6158"/>
          <w:spacing w:val="40"/>
        </w:rPr>
        <w:t> </w:t>
      </w:r>
      <w:r>
        <w:rPr>
          <w:color w:val="6E6158"/>
        </w:rPr>
        <w:t>unique matters.</w:t>
      </w:r>
    </w:p>
    <w:p>
      <w:pPr>
        <w:pStyle w:val="Heading2"/>
        <w:spacing w:before="163"/>
      </w:pPr>
      <w:r>
        <w:rPr>
          <w:color w:val="FF8100"/>
        </w:rPr>
        <w:t>POLITICAL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ELECTION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LAW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government</w:t>
      </w:r>
      <w:r>
        <w:rPr>
          <w:color w:val="6E6158"/>
          <w:spacing w:val="14"/>
        </w:rPr>
        <w:t> </w:t>
      </w:r>
      <w:r>
        <w:rPr>
          <w:color w:val="6E6158"/>
        </w:rPr>
        <w:t>relations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regularly</w:t>
      </w:r>
      <w:r>
        <w:rPr>
          <w:color w:val="6E6158"/>
          <w:spacing w:val="14"/>
        </w:rPr>
        <w:t> </w:t>
      </w:r>
      <w:r>
        <w:rPr>
          <w:color w:val="6E6158"/>
        </w:rPr>
        <w:t>assist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following: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1"/>
        <w:ind w:right="360"/>
      </w:pPr>
      <w:r>
        <w:rPr>
          <w:color w:val="6E6158"/>
        </w:rPr>
        <w:t>Representation of candidates, political parties, PACs, donors, and other persons with an </w:t>
      </w:r>
      <w:r>
        <w:rPr>
          <w:color w:val="6E6158"/>
        </w:rPr>
        <w:t>interest</w:t>
      </w:r>
      <w:r>
        <w:rPr>
          <w:color w:val="6E6158"/>
          <w:spacing w:val="80"/>
        </w:rPr>
        <w:t> </w:t>
      </w:r>
      <w:r>
        <w:rPr>
          <w:color w:val="6E6158"/>
        </w:rPr>
        <w:t>in the legal aspects of the political process</w:t>
      </w:r>
    </w:p>
    <w:p>
      <w:pPr>
        <w:pStyle w:val="BodyText"/>
        <w:spacing w:line="292" w:lineRule="auto" w:before="112"/>
        <w:ind w:right="360"/>
      </w:pPr>
      <w:r>
        <w:rPr>
          <w:color w:val="6E6158"/>
        </w:rPr>
        <w:t>Campaign finance compliance, campaign counsel services, recounts and election </w:t>
      </w:r>
      <w:r>
        <w:rPr>
          <w:color w:val="6E6158"/>
        </w:rPr>
        <w:t>contests,</w:t>
      </w:r>
      <w:r>
        <w:rPr>
          <w:color w:val="6E6158"/>
          <w:spacing w:val="40"/>
        </w:rPr>
        <w:t> </w:t>
      </w:r>
      <w:r>
        <w:rPr>
          <w:color w:val="6E6158"/>
        </w:rPr>
        <w:t>and other election-related litigation or administrative action</w:t>
      </w:r>
    </w:p>
    <w:p>
      <w:pPr>
        <w:pStyle w:val="BodyText"/>
        <w:spacing w:line="427" w:lineRule="auto" w:before="124"/>
        <w:ind w:right="1144"/>
      </w:pPr>
      <w:r>
        <w:rPr>
          <w:color w:val="6E6158"/>
        </w:rPr>
        <w:t>Representation of proponents and opponents of ballot initiatives and </w:t>
      </w:r>
      <w:r>
        <w:rPr>
          <w:color w:val="6E6158"/>
        </w:rPr>
        <w:t>referenda Creating initial draft and research in support of ballot measures</w:t>
      </w:r>
    </w:p>
    <w:p>
      <w:pPr>
        <w:pStyle w:val="BodyText"/>
        <w:spacing w:line="226" w:lineRule="exact"/>
      </w:pPr>
      <w:r>
        <w:rPr>
          <w:color w:val="6E6158"/>
        </w:rPr>
        <w:t>Defending</w:t>
      </w:r>
      <w:r>
        <w:rPr>
          <w:color w:val="6E6158"/>
          <w:spacing w:val="12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attacking</w:t>
      </w:r>
      <w:r>
        <w:rPr>
          <w:color w:val="6E6158"/>
          <w:spacing w:val="12"/>
        </w:rPr>
        <w:t> </w:t>
      </w:r>
      <w:r>
        <w:rPr>
          <w:color w:val="6E6158"/>
        </w:rPr>
        <w:t>such</w:t>
      </w:r>
      <w:r>
        <w:rPr>
          <w:color w:val="6E6158"/>
          <w:spacing w:val="13"/>
        </w:rPr>
        <w:t> </w:t>
      </w:r>
      <w:r>
        <w:rPr>
          <w:color w:val="6E6158"/>
        </w:rPr>
        <w:t>measures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PUBLIC</w:t>
      </w:r>
      <w:r>
        <w:rPr>
          <w:color w:val="FF8100"/>
          <w:spacing w:val="6"/>
        </w:rPr>
        <w:t> </w:t>
      </w:r>
      <w:r>
        <w:rPr>
          <w:color w:val="FF8100"/>
        </w:rPr>
        <w:t>POLICY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LOBBYING</w:t>
      </w:r>
    </w:p>
    <w:p>
      <w:pPr>
        <w:pStyle w:val="BodyText"/>
        <w:spacing w:line="297" w:lineRule="auto" w:before="146"/>
        <w:ind w:right="360"/>
      </w:pPr>
      <w:r>
        <w:rPr>
          <w:color w:val="6E6158"/>
        </w:rPr>
        <w:t>We have a bipartisan team of government relations attorneys directly advocates to </w:t>
      </w:r>
      <w:r>
        <w:rPr>
          <w:color w:val="6E6158"/>
        </w:rPr>
        <w:t>legislative</w:t>
      </w:r>
      <w:r>
        <w:rPr>
          <w:color w:val="6E6158"/>
          <w:spacing w:val="40"/>
        </w:rPr>
        <w:t> </w:t>
      </w:r>
      <w:r>
        <w:rPr>
          <w:color w:val="6E6158"/>
        </w:rPr>
        <w:t>and executive branch officials obtaining support for legislative and regulatory objectives on</w:t>
      </w:r>
      <w:r>
        <w:rPr>
          <w:color w:val="6E6158"/>
          <w:spacing w:val="40"/>
        </w:rPr>
        <w:t> </w:t>
      </w:r>
      <w:r>
        <w:rPr>
          <w:color w:val="6E6158"/>
        </w:rPr>
        <w:t>behalf of our clients. We analyze and interpret legislation, provide testimony, and develop</w:t>
      </w:r>
      <w:r>
        <w:rPr>
          <w:color w:val="6E6158"/>
          <w:spacing w:val="40"/>
        </w:rPr>
        <w:t> </w:t>
      </w:r>
      <w:r>
        <w:rPr>
          <w:color w:val="6E6158"/>
        </w:rPr>
        <w:t>advocacy efforts, including grassroots programs and coalition development. Our regulatory</w:t>
      </w:r>
      <w:r>
        <w:rPr>
          <w:color w:val="6E6158"/>
          <w:spacing w:val="40"/>
        </w:rPr>
        <w:t> </w:t>
      </w:r>
      <w:r>
        <w:rPr>
          <w:color w:val="6E6158"/>
        </w:rPr>
        <w:t>attorneys work closely with clients to draft legislation and regulatory proposals, and shepherd</w:t>
      </w:r>
      <w:r>
        <w:rPr>
          <w:color w:val="6E6158"/>
          <w:spacing w:val="40"/>
        </w:rPr>
        <w:t> </w:t>
      </w:r>
      <w:r>
        <w:rPr>
          <w:color w:val="6E6158"/>
        </w:rPr>
        <w:t>them through the legislative process.</w:t>
      </w:r>
    </w:p>
    <w:p>
      <w:pPr>
        <w:pStyle w:val="Heading2"/>
        <w:spacing w:before="153"/>
      </w:pPr>
      <w:r>
        <w:rPr>
          <w:color w:val="FF8100"/>
        </w:rPr>
        <w:t>REGULATORY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offer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following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services:</w:t>
      </w:r>
    </w:p>
    <w:p>
      <w:pPr>
        <w:pStyle w:val="BodyText"/>
        <w:spacing w:before="14"/>
        <w:ind w:left="0"/>
      </w:pPr>
    </w:p>
    <w:p>
      <w:pPr>
        <w:pStyle w:val="BodyText"/>
      </w:pPr>
      <w:r>
        <w:rPr>
          <w:color w:val="6E6158"/>
        </w:rPr>
        <w:t>Complete</w:t>
      </w:r>
      <w:r>
        <w:rPr>
          <w:color w:val="6E6158"/>
          <w:spacing w:val="11"/>
        </w:rPr>
        <w:t> </w:t>
      </w:r>
      <w:r>
        <w:rPr>
          <w:color w:val="6E6158"/>
        </w:rPr>
        <w:t>regulatory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1"/>
        </w:rPr>
        <w:t> </w:t>
      </w:r>
      <w:r>
        <w:rPr>
          <w:color w:val="6E6158"/>
        </w:rPr>
        <w:t>manner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local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line="302" w:lineRule="auto" w:before="174"/>
        <w:ind w:right="360"/>
      </w:pPr>
      <w:r>
        <w:rPr>
          <w:color w:val="6E6158"/>
        </w:rPr>
        <w:t>Practice before the Nevada Tax Commission to the Nevada Division of Insurance and all manners of boards and commissions</w:t>
      </w:r>
    </w:p>
    <w:p>
      <w:pPr>
        <w:pStyle w:val="BodyText"/>
        <w:spacing w:before="113"/>
      </w:pPr>
      <w:r>
        <w:rPr>
          <w:color w:val="6E6158"/>
        </w:rPr>
        <w:t>Provide</w:t>
      </w:r>
      <w:r>
        <w:rPr>
          <w:color w:val="6E6158"/>
          <w:spacing w:val="13"/>
        </w:rPr>
        <w:t> </w:t>
      </w:r>
      <w:r>
        <w:rPr>
          <w:color w:val="6E6158"/>
        </w:rPr>
        <w:t>advice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handling</w:t>
      </w:r>
      <w:r>
        <w:rPr>
          <w:color w:val="6E6158"/>
          <w:spacing w:val="13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STRATEGY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DEVELOPMENT</w:t>
      </w:r>
    </w:p>
    <w:p>
      <w:pPr>
        <w:pStyle w:val="BodyText"/>
        <w:spacing w:before="147"/>
      </w:pP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government</w:t>
      </w:r>
      <w:r>
        <w:rPr>
          <w:color w:val="6E6158"/>
          <w:spacing w:val="14"/>
        </w:rPr>
        <w:t> </w:t>
      </w:r>
      <w:r>
        <w:rPr>
          <w:color w:val="6E6158"/>
        </w:rPr>
        <w:t>relations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routinely</w:t>
      </w:r>
      <w:r>
        <w:rPr>
          <w:color w:val="6E6158"/>
          <w:spacing w:val="14"/>
        </w:rPr>
        <w:t> </w:t>
      </w:r>
      <w:r>
        <w:rPr>
          <w:color w:val="6E6158"/>
        </w:rPr>
        <w:t>assist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following:</w:t>
      </w:r>
    </w:p>
    <w:p>
      <w:pPr>
        <w:pStyle w:val="BodyText"/>
        <w:spacing w:before="22"/>
        <w:ind w:left="0"/>
      </w:pPr>
    </w:p>
    <w:p>
      <w:pPr>
        <w:pStyle w:val="BodyText"/>
        <w:spacing w:line="420" w:lineRule="auto"/>
      </w:pPr>
      <w:r>
        <w:rPr>
          <w:color w:val="6E6158"/>
        </w:rPr>
        <w:t>Development of goals and effective strategies in support of legislative and regulatory </w:t>
      </w:r>
      <w:r>
        <w:rPr>
          <w:color w:val="6E6158"/>
        </w:rPr>
        <w:t>agendas</w:t>
      </w:r>
      <w:r>
        <w:rPr>
          <w:color w:val="6E6158"/>
          <w:spacing w:val="40"/>
        </w:rPr>
        <w:t> </w:t>
      </w:r>
      <w:r>
        <w:rPr>
          <w:color w:val="6E6158"/>
        </w:rPr>
        <w:t>Arrangement of meetings with key elected officials and policy makers</w:t>
      </w:r>
    </w:p>
    <w:p>
      <w:pPr>
        <w:pStyle w:val="BodyText"/>
        <w:spacing w:line="231" w:lineRule="exact"/>
      </w:pPr>
      <w:r>
        <w:rPr>
          <w:color w:val="6E6158"/>
        </w:rPr>
        <w:t>Development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effective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supportive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relations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media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campaigns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TRACKING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EVALUATION</w:t>
      </w:r>
      <w:r>
        <w:rPr>
          <w:color w:val="FF8100"/>
          <w:spacing w:val="9"/>
        </w:rPr>
        <w:t> </w:t>
      </w:r>
      <w:r>
        <w:rPr>
          <w:color w:val="FF8100"/>
        </w:rPr>
        <w:t>OF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LEGISLATION</w:t>
      </w:r>
    </w:p>
    <w:p>
      <w:pPr>
        <w:pStyle w:val="BodyText"/>
        <w:spacing w:line="297" w:lineRule="auto" w:before="147"/>
        <w:ind w:right="360"/>
      </w:pPr>
      <w:r>
        <w:rPr>
          <w:color w:val="6E6158"/>
        </w:rPr>
        <w:t>Our government relations attorneys also monitor legislative trends and developments. They</w:t>
      </w:r>
      <w:r>
        <w:rPr>
          <w:color w:val="6E6158"/>
          <w:spacing w:val="40"/>
        </w:rPr>
        <w:t> </w:t>
      </w:r>
      <w:r>
        <w:rPr>
          <w:color w:val="6E6158"/>
        </w:rPr>
        <w:t>regularly offer legal analysis, and these regulatory attorneys report on legislation as it moves</w:t>
      </w:r>
      <w:r>
        <w:rPr>
          <w:color w:val="6E6158"/>
          <w:spacing w:val="40"/>
        </w:rPr>
        <w:t> </w:t>
      </w:r>
      <w:r>
        <w:rPr>
          <w:color w:val="6E6158"/>
        </w:rPr>
        <w:t>through hearings, committee meetings and floor debate to related clients.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government-relations-and-regulatory-law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alexis-j-glascock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aglascock@fennemorelaw.com" TargetMode="External"/><Relationship Id="rId14" Type="http://schemas.openxmlformats.org/officeDocument/2006/relationships/hyperlink" Target="https://www.fennemorelaw.com/services/practices/ta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Relations &amp; Regulatory - Fennemore</dc:title>
  <dcterms:created xsi:type="dcterms:W3CDTF">2026-06-12T09:23:34Z</dcterms:created>
  <dcterms:modified xsi:type="dcterms:W3CDTF">2026-06-12T09:23:34Z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