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Hanna Ki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HANNA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NEW26 Hanna Kim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HANNA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HANNA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KIM</w:t>
      </w:r>
    </w:p>
    <w:p>
      <w:pPr>
        <w:pStyle w:val="BodyText"/>
        <w:spacing w:line="297" w:lineRule="auto" w:before="147"/>
        <w:ind w:right="632"/>
      </w:pPr>
      <w:r>
        <w:rPr>
          <w:color w:val="6E6158"/>
        </w:rPr>
        <w:t>Hanna</w:t>
      </w:r>
      <w:r>
        <w:rPr>
          <w:color w:val="6E6158"/>
          <w:spacing w:val="32"/>
        </w:rPr>
        <w:t> </w:t>
      </w:r>
      <w:r>
        <w:rPr>
          <w:color w:val="6E6158"/>
        </w:rPr>
        <w:t>Kim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practice,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represents clients in complex commercial disputes with a focus on strategic, research-driven advocacy. Her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dispute</w:t>
      </w:r>
      <w:r>
        <w:rPr>
          <w:color w:val="6E6158"/>
          <w:spacing w:val="38"/>
        </w:rPr>
        <w:t> </w:t>
      </w:r>
      <w:r>
        <w:rPr>
          <w:color w:val="6E6158"/>
        </w:rPr>
        <w:t>resolution</w:t>
      </w:r>
      <w:r>
        <w:rPr>
          <w:color w:val="6E6158"/>
          <w:spacing w:val="38"/>
        </w:rPr>
        <w:t> </w:t>
      </w:r>
      <w:r>
        <w:rPr>
          <w:color w:val="6E6158"/>
        </w:rPr>
        <w:t>informs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solutions-oriented</w:t>
      </w:r>
      <w:r>
        <w:rPr>
          <w:color w:val="6E6158"/>
          <w:spacing w:val="38"/>
        </w:rPr>
        <w:t> </w:t>
      </w:r>
      <w:r>
        <w:rPr>
          <w:color w:val="6E6158"/>
        </w:rPr>
        <w:t>approach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/>
        <w:ind w:right="632"/>
      </w:pPr>
      <w:r>
        <w:rPr>
          <w:color w:val="6E6158"/>
        </w:rPr>
        <w:t>litigation. During law school, she earned a CALI Award in Mediation, reflecting her skill in identifying</w:t>
      </w:r>
      <w:r>
        <w:rPr>
          <w:color w:val="6E6158"/>
          <w:spacing w:val="19"/>
        </w:rPr>
        <w:t> </w:t>
      </w:r>
      <w:r>
        <w:rPr>
          <w:color w:val="6E6158"/>
        </w:rPr>
        <w:t>common</w:t>
      </w:r>
      <w:r>
        <w:rPr>
          <w:color w:val="6E6158"/>
          <w:spacing w:val="19"/>
        </w:rPr>
        <w:t> </w:t>
      </w:r>
      <w:r>
        <w:rPr>
          <w:color w:val="6E6158"/>
        </w:rPr>
        <w:t>ground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navigating</w:t>
      </w:r>
      <w:r>
        <w:rPr>
          <w:color w:val="6E6158"/>
          <w:spacing w:val="19"/>
        </w:rPr>
        <w:t> </w:t>
      </w:r>
      <w:r>
        <w:rPr>
          <w:color w:val="6E6158"/>
        </w:rPr>
        <w:t>high-stakes</w:t>
      </w:r>
      <w:r>
        <w:rPr>
          <w:color w:val="6E6158"/>
          <w:spacing w:val="19"/>
        </w:rPr>
        <w:t> </w:t>
      </w:r>
      <w:r>
        <w:rPr>
          <w:color w:val="6E6158"/>
        </w:rPr>
        <w:t>conflicts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clarity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composure.</w:t>
      </w:r>
    </w:p>
    <w:p>
      <w:pPr>
        <w:pStyle w:val="BodyText"/>
        <w:spacing w:line="295" w:lineRule="auto" w:before="172"/>
        <w:ind w:right="474"/>
      </w:pPr>
      <w:r>
        <w:rPr>
          <w:color w:val="6E6158"/>
        </w:rPr>
        <w:t>Hanna earned her law degree,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from the University of California Law, San Francisco (formerly UC Hastings), where she served as a teaching assistant in Legal Research and Writing, a</w:t>
      </w:r>
      <w:r>
        <w:rPr>
          <w:color w:val="6E6158"/>
          <w:spacing w:val="40"/>
        </w:rPr>
        <w:t> </w:t>
      </w:r>
      <w:r>
        <w:rPr>
          <w:color w:val="6E6158"/>
        </w:rPr>
        <w:t>Sack Fellow in Torts, and a member of the Moot Court Team. She gained hands-on litigation experience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internship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Francisco</w:t>
      </w:r>
      <w:r>
        <w:rPr>
          <w:color w:val="6E6158"/>
          <w:spacing w:val="32"/>
        </w:rPr>
        <w:t> </w:t>
      </w:r>
      <w:r>
        <w:rPr>
          <w:color w:val="6E6158"/>
        </w:rPr>
        <w:t>Superior</w:t>
      </w:r>
      <w:r>
        <w:rPr>
          <w:color w:val="6E6158"/>
          <w:spacing w:val="32"/>
        </w:rPr>
        <w:t> </w:t>
      </w:r>
      <w:r>
        <w:rPr>
          <w:color w:val="6E6158"/>
        </w:rPr>
        <w:t>Court’s</w:t>
      </w:r>
      <w:r>
        <w:rPr>
          <w:color w:val="6E6158"/>
          <w:spacing w:val="32"/>
        </w:rPr>
        <w:t> </w:t>
      </w:r>
      <w:r>
        <w:rPr>
          <w:color w:val="6E6158"/>
        </w:rPr>
        <w:t>Probate</w:t>
      </w:r>
      <w:r>
        <w:rPr>
          <w:color w:val="6E6158"/>
          <w:spacing w:val="32"/>
        </w:rPr>
        <w:t> </w:t>
      </w:r>
      <w:r>
        <w:rPr>
          <w:color w:val="6E6158"/>
        </w:rPr>
        <w:t>Division,</w:t>
      </w:r>
      <w:r>
        <w:rPr>
          <w:color w:val="6E6158"/>
          <w:spacing w:val="32"/>
        </w:rPr>
        <w:t> </w:t>
      </w:r>
      <w:r>
        <w:rPr>
          <w:color w:val="6E6158"/>
        </w:rPr>
        <w:t>as well as with private law firms handling a broad range of business matters.</w:t>
      </w:r>
    </w:p>
    <w:p>
      <w:pPr>
        <w:pStyle w:val="BodyText"/>
        <w:spacing w:line="295" w:lineRule="auto" w:before="179"/>
        <w:ind w:right="632"/>
      </w:pPr>
      <w:r>
        <w:rPr>
          <w:color w:val="6E6158"/>
        </w:rPr>
        <w:t>She holds a 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in Liberal Arts and Islamic Studies from Zaytuna College in Berkeley, where she graduated with distinction for her senior thesis exploring ethics and happiness in</w:t>
      </w:r>
      <w:r>
        <w:rPr>
          <w:color w:val="6E6158"/>
          <w:spacing w:val="40"/>
        </w:rPr>
        <w:t> </w:t>
      </w:r>
      <w:r>
        <w:rPr>
          <w:color w:val="6E6158"/>
        </w:rPr>
        <w:t>Western thought.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</w:t>
      </w:r>
      <w:r>
        <w:rPr>
          <w:color w:val="6E6158"/>
          <w:spacing w:val="11"/>
        </w:rPr>
        <w:t> </w:t>
      </w:r>
      <w:r>
        <w:rPr>
          <w:color w:val="6E6158"/>
        </w:rPr>
        <w:t>(Formerly</w:t>
      </w:r>
      <w:r>
        <w:rPr>
          <w:color w:val="6E6158"/>
          <w:spacing w:val="11"/>
        </w:rPr>
        <w:t> </w:t>
      </w:r>
      <w:r>
        <w:rPr>
          <w:color w:val="6E6158"/>
        </w:rPr>
        <w:t>UC</w:t>
      </w:r>
      <w:r>
        <w:rPr>
          <w:color w:val="6E6158"/>
          <w:spacing w:val="11"/>
        </w:rPr>
        <w:t> </w:t>
      </w:r>
      <w:r>
        <w:rPr>
          <w:color w:val="6E6158"/>
        </w:rPr>
        <w:t>Hastings),</w:t>
      </w:r>
      <w:r>
        <w:rPr>
          <w:color w:val="6E6158"/>
          <w:spacing w:val="11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7"/>
        <w:ind w:left="343"/>
      </w:pPr>
      <w:r>
        <w:rPr>
          <w:color w:val="6E6158"/>
        </w:rPr>
        <w:t>CALI</w:t>
      </w:r>
      <w:r>
        <w:rPr>
          <w:color w:val="6E6158"/>
          <w:spacing w:val="4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Mediation</w:t>
      </w:r>
    </w:p>
    <w:p>
      <w:pPr>
        <w:pStyle w:val="BodyText"/>
        <w:spacing w:line="408" w:lineRule="auto" w:before="183"/>
        <w:ind w:right="893" w:firstLine="244"/>
        <w:rPr>
          <w:i/>
          <w:sz w:val="20"/>
        </w:rPr>
      </w:pPr>
      <w:r>
        <w:rPr>
          <w:color w:val="6E6158"/>
        </w:rPr>
        <w:t>UC Law SF Moot Court Team, Nationals’ Qualifier, Thomas Tang Moot Court Competition B.A., Zaytuna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line="209" w:lineRule="exact"/>
        <w:ind w:left="343"/>
      </w:pPr>
      <w:r>
        <w:rPr>
          <w:color w:val="6E6158"/>
        </w:rPr>
        <w:t>Distinction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Senior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Thesis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507"/>
      </w:pPr>
      <w:r>
        <w:rPr>
          <w:color w:val="6E6158"/>
        </w:rPr>
        <w:t>Business Litigation Labor &amp; </w:t>
      </w:r>
      <w:r>
        <w:rPr>
          <w:color w:val="6E6158"/>
        </w:rPr>
        <w:t>Employment Apparel &amp; Fashion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32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Top Ten Influential Intellectual Property Cases In Apparel &amp; Fashion Law</w:t>
        </w:r>
      </w:hyperlink>
      <w:r>
        <w:rPr>
          <w:color w:val="6E6158"/>
        </w:rPr>
        <w:t>,” Fennemore Blog, October 23, 2025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00" w:lineRule="atLeast" w:before="93"/>
        <w:ind w:right="306"/>
      </w:pPr>
      <w:r>
        <w:rPr>
          <w:color w:val="6E6158"/>
        </w:rPr>
        <w:t>Provost’s Scholar, University of California College of the Law, San Francisco (formerly UC Hastings)</w:t>
      </w:r>
      <w:r>
        <w:rPr>
          <w:color w:val="6E6158"/>
          <w:spacing w:val="40"/>
        </w:rPr>
        <w:t> </w:t>
      </w:r>
      <w:r>
        <w:rPr>
          <w:color w:val="6E6158"/>
        </w:rPr>
        <w:t>CALI</w:t>
      </w:r>
      <w:r>
        <w:rPr>
          <w:color w:val="6E6158"/>
          <w:spacing w:val="29"/>
        </w:rPr>
        <w:t> </w:t>
      </w:r>
      <w:r>
        <w:rPr>
          <w:color w:val="6E6158"/>
        </w:rPr>
        <w:t>Award,</w:t>
      </w:r>
      <w:r>
        <w:rPr>
          <w:color w:val="6E6158"/>
          <w:spacing w:val="29"/>
        </w:rPr>
        <w:t> </w:t>
      </w:r>
      <w:r>
        <w:rPr>
          <w:color w:val="6E6158"/>
        </w:rPr>
        <w:t>Mediation,</w:t>
      </w:r>
      <w:r>
        <w:rPr>
          <w:color w:val="6E6158"/>
          <w:spacing w:val="29"/>
        </w:rPr>
        <w:t> </w:t>
      </w:r>
      <w:r>
        <w:rPr>
          <w:color w:val="6E6158"/>
        </w:rPr>
        <w:t>University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College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San</w:t>
      </w:r>
      <w:r>
        <w:rPr>
          <w:color w:val="6E6158"/>
          <w:spacing w:val="29"/>
        </w:rPr>
        <w:t> </w:t>
      </w:r>
      <w:r>
        <w:rPr>
          <w:color w:val="6E6158"/>
        </w:rPr>
        <w:t>Francisco</w:t>
      </w:r>
      <w:r>
        <w:rPr>
          <w:color w:val="6E6158"/>
          <w:spacing w:val="29"/>
        </w:rPr>
        <w:t> </w:t>
      </w:r>
      <w:r>
        <w:rPr>
          <w:color w:val="6E6158"/>
        </w:rPr>
        <w:t>(formerly</w:t>
      </w:r>
      <w:r>
        <w:rPr>
          <w:color w:val="6E6158"/>
          <w:spacing w:val="29"/>
        </w:rPr>
        <w:t> </w:t>
      </w:r>
      <w:r>
        <w:rPr>
          <w:color w:val="6E6158"/>
        </w:rPr>
        <w:t>UC</w:t>
      </w:r>
    </w:p>
    <w:p>
      <w:pPr>
        <w:pStyle w:val="BodyText"/>
        <w:spacing w:before="59"/>
      </w:pPr>
      <w:r>
        <w:rPr>
          <w:color w:val="6E6158"/>
          <w:spacing w:val="-2"/>
        </w:rPr>
        <w:t>Hastings)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hkim@fennemorelaw.com" TargetMode="External"/><Relationship Id="rId11" Type="http://schemas.openxmlformats.org/officeDocument/2006/relationships/hyperlink" Target="https://www.fennemorelaw.com/ten-influential-intellectual-property-cases-in-apparel-fashion-la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Kim - Fennemore</dc:title>
  <dcterms:created xsi:type="dcterms:W3CDTF">2026-06-12T09:34:59Z</dcterms:created>
  <dcterms:modified xsi:type="dcterms:W3CDTF">2026-06-12T09:34:59Z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