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10726302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98" w:right="798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International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Trade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798" w:right="796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navigate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tariffs,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manage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risk,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succeed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 rapidly changing global trade environment.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107263024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798" w:right="798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International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Trade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798" w:right="796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navigate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tariffs,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manage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risk,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succeed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 rapidly changing global trade environment.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8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43884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INTERNATIONAL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TRADE</w:t>
        </w:r>
      </w:hyperlink>
    </w:p>
    <w:p>
      <w:pPr>
        <w:pStyle w:val="BodyText"/>
        <w:spacing w:before="48"/>
        <w:ind w:left="0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Leslie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Alan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Glick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Fennemore</w:t>
        </w:r>
        <w:r>
          <w:rPr>
            <w:b/>
            <w:spacing w:val="6"/>
            <w:sz w:val="12"/>
          </w:rPr>
          <w:t> </w:t>
        </w:r>
        <w:r>
          <w:rPr>
            <w:b/>
            <w:spacing w:val="-2"/>
            <w:sz w:val="12"/>
          </w:rPr>
          <w:t>Forward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202.220.1468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2"/>
          <w:sz w:val="12"/>
        </w:rPr>
        <w:t> </w:t>
      </w:r>
      <w:r>
        <w:rPr>
          <w:sz w:val="12"/>
        </w:rPr>
        <w:t>Cell: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240.447.7796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r>
        <w:rPr>
          <w:color w:val="002E6B"/>
          <w:spacing w:val="-2"/>
          <w:sz w:val="12"/>
        </w:rPr>
        <w:t>l</w:t>
      </w:r>
      <w:hyperlink r:id="rId13">
        <w:r>
          <w:rPr>
            <w:rFonts w:ascii="Times New Roman"/>
            <w:color w:val="002E6B"/>
            <w:spacing w:val="-7"/>
            <w:sz w:val="12"/>
            <w:u w:val="single" w:color="002E6B"/>
          </w:rPr>
          <w:t> </w:t>
        </w:r>
        <w:r>
          <w:rPr>
            <w:color w:val="002E6B"/>
            <w:spacing w:val="-2"/>
            <w:sz w:val="12"/>
            <w:u w:val="none"/>
          </w:rPr>
          <w:t>g</w:t>
        </w:r>
        <w:r>
          <w:rPr>
            <w:color w:val="002E6B"/>
            <w:spacing w:val="-2"/>
            <w:sz w:val="12"/>
            <w:u w:val="single" w:color="002E6B"/>
          </w:rPr>
          <w:t>lick@fennemorelaw.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8"/>
        <w:ind w:left="3318" w:right="41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INTERNATIONAL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TRADE</w:t>
        </w:r>
      </w:hyperlink>
    </w:p>
    <w:p>
      <w:pPr>
        <w:pStyle w:val="BodyText"/>
        <w:spacing w:before="48"/>
        <w:ind w:left="0"/>
        <w:rPr>
          <w:sz w:val="16"/>
        </w:rPr>
      </w:pPr>
    </w:p>
    <w:p>
      <w:pPr>
        <w:spacing w:line="218" w:lineRule="auto" w:before="1"/>
        <w:ind w:left="3318" w:right="41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-412810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318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318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Nogales</w:t>
        </w:r>
      </w:hyperlink>
    </w:p>
    <w:p>
      <w:pPr>
        <w:spacing w:before="15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318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318" w:right="413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28" w:space="40"/>
            <w:col w:w="5212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INTRODUCTION</w:t>
      </w:r>
    </w:p>
    <w:p>
      <w:pPr>
        <w:pStyle w:val="BodyText"/>
        <w:spacing w:line="297" w:lineRule="auto" w:before="146"/>
        <w:ind w:right="754"/>
      </w:pPr>
      <w:r>
        <w:rPr>
          <w:color w:val="6E6158"/>
        </w:rPr>
        <w:t>Fennemore’s International Trade team helps businesses operate with confidence in an</w:t>
      </w:r>
      <w:r>
        <w:rPr>
          <w:color w:val="6E6158"/>
          <w:spacing w:val="80"/>
        </w:rPr>
        <w:t> </w:t>
      </w:r>
      <w:r>
        <w:rPr>
          <w:color w:val="6E6158"/>
        </w:rPr>
        <w:t>increasingly complex global marketplace. As tariffs, trade regulations, and enforcement </w:t>
      </w:r>
      <w:r>
        <w:rPr>
          <w:color w:val="6E6158"/>
        </w:rPr>
        <w:t>actions</w:t>
      </w:r>
      <w:r>
        <w:rPr>
          <w:color w:val="6E6158"/>
          <w:spacing w:val="40"/>
        </w:rPr>
        <w:t> </w:t>
      </w:r>
      <w:r>
        <w:rPr>
          <w:color w:val="6E6158"/>
        </w:rPr>
        <w:t>continue to evolve, companies need clear, practical guidance to manage risk and stay</w:t>
      </w:r>
    </w:p>
    <w:p>
      <w:pPr>
        <w:pStyle w:val="BodyText"/>
        <w:spacing w:line="297" w:lineRule="auto" w:before="0"/>
        <w:ind w:right="641"/>
      </w:pPr>
      <w:r>
        <w:rPr>
          <w:color w:val="6E6158"/>
        </w:rPr>
        <w:t>competitive. Our multidisciplinary approach brings together corporate, regulatory, tax,</w:t>
      </w:r>
      <w:r>
        <w:rPr>
          <w:color w:val="6E6158"/>
          <w:spacing w:val="80"/>
        </w:rPr>
        <w:t> </w:t>
      </w:r>
      <w:r>
        <w:rPr>
          <w:color w:val="6E6158"/>
        </w:rPr>
        <w:t>intellectual property, and dispute resolution perspectives to address the full scope of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clients face in cross-border operations. We work closely with clients to respond to immediate</w:t>
      </w:r>
      <w:r>
        <w:rPr>
          <w:color w:val="6E6158"/>
          <w:spacing w:val="80"/>
        </w:rPr>
        <w:t> </w:t>
      </w:r>
      <w:r>
        <w:rPr>
          <w:color w:val="6E6158"/>
        </w:rPr>
        <w:t>trade issues while anticipating policy shifts that may impact their business. By combining</w:t>
      </w:r>
      <w:r>
        <w:rPr>
          <w:color w:val="6E6158"/>
          <w:spacing w:val="80"/>
        </w:rPr>
        <w:t> </w:t>
      </w:r>
      <w:r>
        <w:rPr>
          <w:color w:val="6E6158"/>
        </w:rPr>
        <w:t>regulatory insight with a business-focused approach, we help clients make informed decisions,</w:t>
      </w:r>
      <w:r>
        <w:rPr>
          <w:color w:val="6E6158"/>
          <w:spacing w:val="40"/>
        </w:rPr>
        <w:t> </w:t>
      </w:r>
      <w:r>
        <w:rPr>
          <w:color w:val="6E6158"/>
        </w:rPr>
        <w:t>maintain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position</w:t>
      </w:r>
      <w:r>
        <w:rPr>
          <w:color w:val="6E6158"/>
          <w:spacing w:val="40"/>
        </w:rPr>
        <w:t> </w:t>
      </w:r>
      <w:r>
        <w:rPr>
          <w:color w:val="6E6158"/>
        </w:rPr>
        <w:t>themselves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success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markets.</w:t>
      </w:r>
    </w:p>
    <w:p>
      <w:pPr>
        <w:pStyle w:val="Heading1"/>
        <w:spacing w:before="149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7"/>
        <w:ind w:right="495"/>
      </w:pPr>
      <w:r>
        <w:rPr>
          <w:color w:val="6E6158"/>
        </w:rPr>
        <w:t>Fennemore’s International Trade team helps businesses navigate an increasingly complex </w:t>
      </w:r>
      <w:r>
        <w:rPr>
          <w:color w:val="6E6158"/>
        </w:rPr>
        <w:t>global</w:t>
      </w:r>
      <w:r>
        <w:rPr>
          <w:color w:val="6E6158"/>
          <w:spacing w:val="40"/>
        </w:rPr>
        <w:t> </w:t>
      </w:r>
      <w:r>
        <w:rPr>
          <w:color w:val="6E6158"/>
        </w:rPr>
        <w:t>trade environment shaped by tariffs, shifting regulations, and evolving policy priorities. We work</w:t>
      </w:r>
      <w:r>
        <w:rPr>
          <w:color w:val="6E6158"/>
          <w:spacing w:val="40"/>
        </w:rPr>
        <w:t> </w:t>
      </w:r>
      <w:r>
        <w:rPr>
          <w:color w:val="6E6158"/>
        </w:rPr>
        <w:t>alongside clients to manage immediate trade challenges while positioning their businesses for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success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markets.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multidisciplinary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brings</w:t>
      </w:r>
      <w:r>
        <w:rPr>
          <w:color w:val="6E6158"/>
          <w:spacing w:val="40"/>
        </w:rPr>
        <w:t> </w:t>
      </w:r>
      <w:r>
        <w:rPr>
          <w:color w:val="6E6158"/>
        </w:rPr>
        <w:t>together</w:t>
      </w:r>
    </w:p>
    <w:p>
      <w:pPr>
        <w:pStyle w:val="BodyText"/>
        <w:spacing w:line="292" w:lineRule="auto" w:before="1"/>
        <w:ind w:right="754"/>
      </w:pPr>
      <w:r>
        <w:rPr>
          <w:color w:val="6E6158"/>
        </w:rPr>
        <w:t>corporate, regulatory, tax, intellectual property, and dispute resolution perspectives to </w:t>
      </w:r>
      <w:r>
        <w:rPr>
          <w:color w:val="6E6158"/>
        </w:rPr>
        <w:t>address</w:t>
      </w:r>
      <w:r>
        <w:rPr>
          <w:color w:val="6E6158"/>
          <w:spacing w:val="40"/>
        </w:rPr>
        <w:t> </w:t>
      </w:r>
      <w:r>
        <w:rPr>
          <w:color w:val="6E6158"/>
        </w:rPr>
        <w:t>the full scope of challenges clients face in cross-border operations.</w:t>
      </w:r>
    </w:p>
    <w:p>
      <w:pPr>
        <w:pStyle w:val="BodyText"/>
        <w:spacing w:line="297" w:lineRule="auto" w:before="197"/>
        <w:ind w:right="754"/>
      </w:pPr>
      <w:r>
        <w:rPr>
          <w:color w:val="6E6158"/>
        </w:rPr>
        <w:t>Our team supports companies facing tariff impacts, trade investigations, and regulatory</w:t>
      </w:r>
      <w:r>
        <w:rPr>
          <w:color w:val="6E6158"/>
          <w:spacing w:val="40"/>
        </w:rPr>
        <w:t> </w:t>
      </w:r>
      <w:r>
        <w:rPr>
          <w:color w:val="6E6158"/>
        </w:rPr>
        <w:t>uncertainty by providing practical, forward-looking guidance. We monitor developments </w:t>
      </w:r>
      <w:r>
        <w:rPr>
          <w:color w:val="6E6158"/>
        </w:rPr>
        <w:t>in Washington,</w:t>
      </w:r>
      <w:r>
        <w:rPr>
          <w:color w:val="6E6158"/>
          <w:spacing w:val="13"/>
        </w:rPr>
        <w:t> </w:t>
      </w:r>
      <w:r>
        <w:rPr>
          <w:color w:val="6E6158"/>
        </w:rPr>
        <w:t>D.C.</w:t>
      </w:r>
      <w:r>
        <w:rPr>
          <w:color w:val="6E6158"/>
          <w:spacing w:val="14"/>
        </w:rPr>
        <w:t> </w:t>
      </w:r>
      <w:r>
        <w:rPr>
          <w:color w:val="6E6158"/>
        </w:rPr>
        <w:t>closely,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legislative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branch</w:t>
      </w:r>
      <w:r>
        <w:rPr>
          <w:color w:val="6E6158"/>
          <w:spacing w:val="14"/>
        </w:rPr>
        <w:t> </w:t>
      </w:r>
      <w:r>
        <w:rPr>
          <w:color w:val="6E6158"/>
        </w:rPr>
        <w:t>activity,</w:t>
      </w:r>
      <w:r>
        <w:rPr>
          <w:color w:val="6E6158"/>
          <w:spacing w:val="14"/>
        </w:rPr>
        <w:t> </w:t>
      </w:r>
      <w:r>
        <w:rPr>
          <w:color w:val="6E6158"/>
        </w:rPr>
        <w:t>so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can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anticipate changes, adapt strategies, and take advantage of opportunities as they arise. </w:t>
      </w:r>
      <w:r>
        <w:rPr>
          <w:color w:val="6E6158"/>
        </w:rPr>
        <w:t>Where</w:t>
      </w:r>
      <w:r>
        <w:rPr>
          <w:color w:val="6E6158"/>
          <w:spacing w:val="40"/>
        </w:rPr>
        <w:t> </w:t>
      </w:r>
      <w:r>
        <w:rPr>
          <w:color w:val="6E6158"/>
        </w:rPr>
        <w:t>appropriate, we also help clients engage in the policymaking process.</w:t>
      </w:r>
    </w:p>
    <w:p>
      <w:pPr>
        <w:pStyle w:val="BodyText"/>
        <w:spacing w:line="292" w:lineRule="auto" w:before="205"/>
      </w:pPr>
      <w:r>
        <w:rPr>
          <w:color w:val="6E6158"/>
        </w:rPr>
        <w:t>We are prepared to respond to all types of trade actions that have been active in recent years,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line="297" w:lineRule="auto" w:before="196"/>
        <w:ind w:right="754"/>
      </w:pPr>
      <w:r>
        <w:rPr>
          <w:b/>
          <w:color w:val="6E6158"/>
        </w:rPr>
        <w:t>Section 232: </w:t>
      </w:r>
      <w:r>
        <w:rPr>
          <w:color w:val="6E6158"/>
        </w:rPr>
        <w:t>Help clients manage tariffs imposed for national security reasons, including those</w:t>
      </w:r>
      <w:r>
        <w:rPr>
          <w:color w:val="6E6158"/>
          <w:spacing w:val="40"/>
        </w:rPr>
        <w:t> </w:t>
      </w:r>
      <w:r>
        <w:rPr>
          <w:color w:val="6E6158"/>
        </w:rPr>
        <w:t>affecting imports of iron, steel, and copper, and assist in pursuing available exclusions to reduce</w:t>
      </w:r>
      <w:r>
        <w:rPr>
          <w:color w:val="6E6158"/>
          <w:spacing w:val="40"/>
        </w:rPr>
        <w:t> </w:t>
      </w:r>
      <w:r>
        <w:rPr>
          <w:color w:val="6E6158"/>
        </w:rPr>
        <w:t>cost impacts.</w:t>
      </w:r>
    </w:p>
    <w:p>
      <w:pPr>
        <w:pStyle w:val="BodyText"/>
        <w:spacing w:line="292" w:lineRule="auto" w:before="119"/>
        <w:ind w:right="754"/>
      </w:pPr>
      <w:r>
        <w:rPr>
          <w:b/>
          <w:color w:val="6E6158"/>
        </w:rPr>
        <w:t>Section 301</w:t>
      </w:r>
      <w:r>
        <w:rPr>
          <w:color w:val="6E6158"/>
        </w:rPr>
        <w:t>: Advise clients on tariffs arising from unfair trade practices, including those </w:t>
      </w:r>
      <w:r>
        <w:rPr>
          <w:color w:val="6E6158"/>
        </w:rPr>
        <w:t>targeting</w:t>
      </w:r>
      <w:r>
        <w:rPr>
          <w:color w:val="6E6158"/>
          <w:spacing w:val="40"/>
        </w:rPr>
        <w:t> </w:t>
      </w:r>
      <w:r>
        <w:rPr>
          <w:color w:val="6E6158"/>
        </w:rPr>
        <w:t>imports</w:t>
      </w:r>
      <w:r>
        <w:rPr>
          <w:color w:val="6E6158"/>
          <w:spacing w:val="31"/>
        </w:rPr>
        <w:t> </w:t>
      </w:r>
      <w:r>
        <w:rPr>
          <w:color w:val="6E6158"/>
        </w:rPr>
        <w:t>from</w:t>
      </w:r>
      <w:r>
        <w:rPr>
          <w:color w:val="6E6158"/>
          <w:spacing w:val="31"/>
        </w:rPr>
        <w:t> </w:t>
      </w:r>
      <w:r>
        <w:rPr>
          <w:color w:val="6E6158"/>
        </w:rPr>
        <w:t>China,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help</w:t>
      </w:r>
      <w:r>
        <w:rPr>
          <w:color w:val="6E6158"/>
          <w:spacing w:val="31"/>
        </w:rPr>
        <w:t> </w:t>
      </w:r>
      <w:r>
        <w:rPr>
          <w:color w:val="6E6158"/>
        </w:rPr>
        <w:t>address</w:t>
      </w:r>
      <w:r>
        <w:rPr>
          <w:color w:val="6E6158"/>
          <w:spacing w:val="31"/>
        </w:rPr>
        <w:t> </w:t>
      </w:r>
      <w:r>
        <w:rPr>
          <w:color w:val="6E6158"/>
        </w:rPr>
        <w:t>risks</w:t>
      </w:r>
      <w:r>
        <w:rPr>
          <w:color w:val="6E6158"/>
          <w:spacing w:val="31"/>
        </w:rPr>
        <w:t> </w:t>
      </w:r>
      <w:r>
        <w:rPr>
          <w:color w:val="6E6158"/>
        </w:rPr>
        <w:t>related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market</w:t>
      </w:r>
      <w:r>
        <w:rPr>
          <w:color w:val="6E6158"/>
          <w:spacing w:val="31"/>
        </w:rPr>
        <w:t> </w:t>
      </w:r>
      <w:r>
        <w:rPr>
          <w:color w:val="6E6158"/>
        </w:rPr>
        <w:t>access,</w:t>
      </w:r>
      <w:r>
        <w:rPr>
          <w:color w:val="6E6158"/>
          <w:spacing w:val="31"/>
        </w:rPr>
        <w:t> </w:t>
      </w:r>
      <w:r>
        <w:rPr>
          <w:color w:val="6E6158"/>
        </w:rPr>
        <w:t>intellectual</w:t>
      </w:r>
      <w:r>
        <w:rPr>
          <w:color w:val="6E6158"/>
          <w:spacing w:val="31"/>
        </w:rPr>
        <w:t> </w:t>
      </w:r>
      <w:r>
        <w:rPr>
          <w:color w:val="6E6158"/>
        </w:rPr>
        <w:t>property</w:t>
      </w:r>
    </w:p>
    <w:p>
      <w:pPr>
        <w:pStyle w:val="BodyText"/>
        <w:spacing w:before="1"/>
      </w:pPr>
      <w:r>
        <w:rPr>
          <w:color w:val="6E6158"/>
        </w:rPr>
        <w:t>protections,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regulatory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barriers.</w:t>
      </w:r>
    </w:p>
    <w:p>
      <w:pPr>
        <w:pStyle w:val="BodyText"/>
        <w:spacing w:line="292" w:lineRule="auto" w:before="182"/>
        <w:ind w:right="1106"/>
      </w:pPr>
      <w:r>
        <w:rPr>
          <w:b/>
          <w:color w:val="6E6158"/>
        </w:rPr>
        <w:t>Section 201: </w:t>
      </w:r>
      <w:r>
        <w:rPr>
          <w:color w:val="6E6158"/>
        </w:rPr>
        <w:t>Guide clients through safeguard actions involving import surges, including</w:t>
      </w:r>
      <w:r>
        <w:rPr>
          <w:color w:val="6E6158"/>
          <w:spacing w:val="40"/>
        </w:rPr>
        <w:t> </w:t>
      </w:r>
      <w:r>
        <w:rPr>
          <w:color w:val="6E6158"/>
        </w:rPr>
        <w:t>proceedings before the U.S. International Trade Commission, to address the reimposition </w:t>
      </w:r>
      <w:r>
        <w:rPr>
          <w:color w:val="6E6158"/>
        </w:rPr>
        <w:t>of duties and protect business operations.</w:t>
      </w:r>
    </w:p>
    <w:p>
      <w:pPr>
        <w:pStyle w:val="BodyText"/>
        <w:spacing w:line="302" w:lineRule="auto"/>
        <w:ind w:right="754"/>
      </w:pPr>
      <w:r>
        <w:rPr>
          <w:b/>
          <w:color w:val="6E6158"/>
        </w:rPr>
        <w:t>Antidumping: </w:t>
      </w:r>
      <w:r>
        <w:rPr>
          <w:color w:val="6E6158"/>
        </w:rPr>
        <w:t>Assist clients with cases involving international price discrimination that </w:t>
      </w:r>
      <w:r>
        <w:rPr>
          <w:color w:val="6E6158"/>
        </w:rPr>
        <w:t>causes</w:t>
      </w:r>
      <w:r>
        <w:rPr>
          <w:color w:val="6E6158"/>
          <w:spacing w:val="40"/>
        </w:rPr>
        <w:t> </w:t>
      </w:r>
      <w:r>
        <w:rPr>
          <w:color w:val="6E6158"/>
        </w:rPr>
        <w:t>injury or threat of injury to U.S. producers.</w:t>
      </w:r>
    </w:p>
    <w:p>
      <w:pPr>
        <w:pStyle w:val="BodyText"/>
        <w:spacing w:line="292" w:lineRule="auto" w:before="112"/>
        <w:ind w:right="754"/>
      </w:pPr>
      <w:r>
        <w:rPr>
          <w:b/>
          <w:color w:val="6E6158"/>
        </w:rPr>
        <w:t>Countervailing duties: </w:t>
      </w:r>
      <w:r>
        <w:rPr>
          <w:color w:val="6E6158"/>
        </w:rPr>
        <w:t>Assist clients in cases involving foreign government subsidies,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navigate investigations and manage exposure to additional U.S. duties</w:t>
      </w:r>
    </w:p>
    <w:p>
      <w:pPr>
        <w:pStyle w:val="BodyText"/>
        <w:spacing w:line="292" w:lineRule="auto" w:before="132"/>
        <w:ind w:right="1106"/>
      </w:pPr>
      <w:r>
        <w:rPr>
          <w:b/>
          <w:color w:val="6E6158"/>
        </w:rPr>
        <w:t>Trade</w:t>
      </w:r>
      <w:r>
        <w:rPr>
          <w:b/>
          <w:color w:val="6E6158"/>
          <w:spacing w:val="16"/>
        </w:rPr>
        <w:t> </w:t>
      </w:r>
      <w:r>
        <w:rPr>
          <w:b/>
          <w:color w:val="6E6158"/>
        </w:rPr>
        <w:t>agreements</w:t>
      </w:r>
      <w:r>
        <w:rPr>
          <w:color w:val="6E6158"/>
        </w:rPr>
        <w:t>:</w:t>
      </w:r>
      <w:r>
        <w:rPr>
          <w:color w:val="6E6158"/>
          <w:spacing w:val="16"/>
        </w:rPr>
        <w:t> </w:t>
      </w:r>
      <w:r>
        <w:rPr>
          <w:color w:val="6E6158"/>
        </w:rPr>
        <w:t>Help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  <w:r>
        <w:rPr>
          <w:color w:val="6E6158"/>
          <w:spacing w:val="16"/>
        </w:rPr>
        <w:t> </w:t>
      </w:r>
      <w:r>
        <w:rPr>
          <w:color w:val="6E6158"/>
        </w:rPr>
        <w:t>take</w:t>
      </w:r>
      <w:r>
        <w:rPr>
          <w:color w:val="6E6158"/>
          <w:spacing w:val="16"/>
        </w:rPr>
        <w:t> </w:t>
      </w:r>
      <w:r>
        <w:rPr>
          <w:color w:val="6E6158"/>
        </w:rPr>
        <w:t>full</w:t>
      </w:r>
      <w:r>
        <w:rPr>
          <w:color w:val="6E6158"/>
          <w:spacing w:val="16"/>
        </w:rPr>
        <w:t> </w:t>
      </w:r>
      <w:r>
        <w:rPr>
          <w:color w:val="6E6158"/>
        </w:rPr>
        <w:t>advantage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agreements</w:t>
      </w:r>
      <w:r>
        <w:rPr>
          <w:color w:val="6E6158"/>
          <w:spacing w:val="16"/>
        </w:rPr>
        <w:t> </w:t>
      </w:r>
      <w:r>
        <w:rPr>
          <w:color w:val="6E6158"/>
        </w:rPr>
        <w:t>such</w:t>
      </w:r>
      <w:r>
        <w:rPr>
          <w:color w:val="6E6158"/>
          <w:spacing w:val="16"/>
        </w:rPr>
        <w:t> </w:t>
      </w:r>
      <w:r>
        <w:rPr>
          <w:color w:val="6E6158"/>
        </w:rPr>
        <w:t>as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US-</w:t>
      </w:r>
      <w:r>
        <w:rPr>
          <w:color w:val="6E6158"/>
        </w:rPr>
        <w:t>Mexico-Canada Agreement (USMCA) by ensuring compliance with rules of origin and other requirements to reduce or eliminate tariffs.</w:t>
      </w:r>
    </w:p>
    <w:p>
      <w:pPr>
        <w:pStyle w:val="BodyText"/>
        <w:spacing w:line="297" w:lineRule="auto"/>
        <w:ind w:right="754"/>
      </w:pPr>
      <w:r>
        <w:rPr>
          <w:b/>
          <w:color w:val="6E6158"/>
        </w:rPr>
        <w:t>Customs</w:t>
      </w:r>
      <w:r>
        <w:rPr>
          <w:color w:val="6E6158"/>
        </w:rPr>
        <w:t>: Support clients with day-to-day import and duty matters, including tariff </w:t>
      </w:r>
      <w:r>
        <w:rPr>
          <w:color w:val="6E6158"/>
        </w:rPr>
        <w:t>classification,</w:t>
      </w:r>
      <w:r>
        <w:rPr>
          <w:color w:val="6E6158"/>
          <w:spacing w:val="40"/>
        </w:rPr>
        <w:t> </w:t>
      </w:r>
      <w:r>
        <w:rPr>
          <w:color w:val="6E6158"/>
        </w:rPr>
        <w:t>valuation, country of origin marking, and compliance issues, particularly in cross-border trade</w:t>
      </w:r>
      <w:r>
        <w:rPr>
          <w:color w:val="6E6158"/>
          <w:spacing w:val="40"/>
        </w:rPr>
        <w:t> </w:t>
      </w:r>
      <w:r>
        <w:rPr>
          <w:color w:val="6E6158"/>
        </w:rPr>
        <w:t>with Mexico and Canada and the use of foreign trade zones.</w:t>
      </w:r>
    </w:p>
    <w:p>
      <w:pPr>
        <w:pStyle w:val="BodyText"/>
        <w:spacing w:line="292" w:lineRule="auto" w:before="118"/>
        <w:ind w:right="754"/>
      </w:pPr>
      <w:r>
        <w:rPr>
          <w:b/>
          <w:color w:val="6E6158"/>
        </w:rPr>
        <w:t>Tariff refunds</w:t>
      </w:r>
      <w:r>
        <w:rPr>
          <w:color w:val="6E6158"/>
        </w:rPr>
        <w:t>: Work with clients across industries, including agriculture, to pursue available tariff</w:t>
      </w:r>
      <w:r>
        <w:rPr>
          <w:color w:val="6E6158"/>
          <w:spacing w:val="40"/>
        </w:rPr>
        <w:t> </w:t>
      </w:r>
      <w:r>
        <w:rPr>
          <w:color w:val="6E6158"/>
        </w:rPr>
        <w:t>refunds and recover costs tied to improperly applied or invalidated duties.</w:t>
      </w:r>
    </w:p>
    <w:p>
      <w:pPr>
        <w:pStyle w:val="BodyText"/>
        <w:spacing w:before="131"/>
      </w:pPr>
      <w:r>
        <w:rPr>
          <w:b/>
          <w:color w:val="6E6158"/>
        </w:rPr>
        <w:t>Section</w:t>
      </w:r>
      <w:r>
        <w:rPr>
          <w:b/>
          <w:color w:val="6E6158"/>
          <w:spacing w:val="12"/>
        </w:rPr>
        <w:t> </w:t>
      </w:r>
      <w:r>
        <w:rPr>
          <w:b/>
          <w:color w:val="6E6158"/>
        </w:rPr>
        <w:t>122:</w:t>
      </w:r>
      <w:r>
        <w:rPr>
          <w:b/>
          <w:color w:val="6E6158"/>
          <w:spacing w:val="13"/>
        </w:rPr>
        <w:t> </w:t>
      </w:r>
      <w:r>
        <w:rPr>
          <w:color w:val="6E6158"/>
        </w:rPr>
        <w:t>Advise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short-term</w:t>
      </w:r>
      <w:r>
        <w:rPr>
          <w:color w:val="6E6158"/>
          <w:spacing w:val="13"/>
        </w:rPr>
        <w:t> </w:t>
      </w:r>
      <w:r>
        <w:rPr>
          <w:color w:val="6E6158"/>
        </w:rPr>
        <w:t>tariff</w:t>
      </w:r>
      <w:r>
        <w:rPr>
          <w:color w:val="6E6158"/>
          <w:spacing w:val="12"/>
        </w:rPr>
        <w:t> </w:t>
      </w:r>
      <w:r>
        <w:rPr>
          <w:color w:val="6E6158"/>
        </w:rPr>
        <w:t>actions</w:t>
      </w:r>
      <w:r>
        <w:rPr>
          <w:color w:val="6E6158"/>
          <w:spacing w:val="13"/>
        </w:rPr>
        <w:t> </w:t>
      </w:r>
      <w:r>
        <w:rPr>
          <w:color w:val="6E6158"/>
        </w:rPr>
        <w:t>imposed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address</w:t>
      </w:r>
      <w:r>
        <w:rPr>
          <w:color w:val="6E6158"/>
          <w:spacing w:val="12"/>
        </w:rPr>
        <w:t> </w:t>
      </w:r>
      <w:r>
        <w:rPr>
          <w:color w:val="6E6158"/>
        </w:rPr>
        <w:t>unfair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foreign</w:t>
      </w:r>
    </w:p>
    <w:p>
      <w:pPr>
        <w:pStyle w:val="BodyText"/>
        <w:spacing w:line="292" w:lineRule="auto" w:before="52"/>
        <w:ind w:right="754"/>
      </w:pPr>
      <w:r>
        <w:rPr>
          <w:color w:val="6E6158"/>
        </w:rPr>
        <w:t>competition, helping assess product coverage, identify exclusions, and respond quickly </w:t>
      </w:r>
      <w:r>
        <w:rPr>
          <w:color w:val="6E6158"/>
        </w:rPr>
        <w:t>to minimize business disruption.</w:t>
      </w:r>
    </w:p>
    <w:p>
      <w:pPr>
        <w:spacing w:before="123"/>
        <w:ind w:left="459" w:right="0" w:firstLine="0"/>
        <w:jc w:val="left"/>
        <w:rPr>
          <w:sz w:val="19"/>
        </w:rPr>
      </w:pPr>
      <w:r>
        <w:rPr>
          <w:b/>
          <w:color w:val="6E6158"/>
          <w:sz w:val="19"/>
        </w:rPr>
        <w:t>Committee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for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Foreign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Investment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in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the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United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States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(CIFIUS):</w:t>
      </w:r>
      <w:r>
        <w:rPr>
          <w:b/>
          <w:color w:val="6E6158"/>
          <w:spacing w:val="12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clients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foreign</w:t>
      </w:r>
    </w:p>
    <w:p>
      <w:pPr>
        <w:pStyle w:val="BodyText"/>
        <w:spacing w:line="292" w:lineRule="auto" w:before="60"/>
        <w:ind w:right="754"/>
      </w:pPr>
      <w:r>
        <w:rPr>
          <w:color w:val="6E6158"/>
        </w:rPr>
        <w:t>investment regulations, including real estate transactions near sensitive sites, helping </w:t>
      </w:r>
      <w:r>
        <w:rPr>
          <w:color w:val="6E6158"/>
        </w:rPr>
        <w:t>secure</w:t>
      </w:r>
      <w:r>
        <w:rPr>
          <w:color w:val="6E6158"/>
          <w:spacing w:val="40"/>
        </w:rPr>
        <w:t> </w:t>
      </w:r>
      <w:r>
        <w:rPr>
          <w:color w:val="6E6158"/>
        </w:rPr>
        <w:t>approvals and avoid penalties or forced divestitures.</w:t>
      </w:r>
    </w:p>
    <w:p>
      <w:pPr>
        <w:pStyle w:val="BodyText"/>
        <w:spacing w:line="302" w:lineRule="auto"/>
        <w:ind w:right="490"/>
      </w:pPr>
      <w:r>
        <w:rPr>
          <w:b/>
          <w:color w:val="6E6158"/>
        </w:rPr>
        <w:t>International Investment: </w:t>
      </w:r>
      <w:r>
        <w:rPr>
          <w:color w:val="6E6158"/>
        </w:rPr>
        <w:t>Support clients in structuring and executing inbound and outbound</w:t>
      </w:r>
      <w:r>
        <w:rPr>
          <w:color w:val="6E6158"/>
          <w:spacing w:val="40"/>
        </w:rPr>
        <w:t> </w:t>
      </w:r>
      <w:r>
        <w:rPr>
          <w:color w:val="6E6158"/>
        </w:rPr>
        <w:t>foreign</w:t>
      </w:r>
      <w:r>
        <w:rPr>
          <w:color w:val="6E6158"/>
          <w:spacing w:val="16"/>
        </w:rPr>
        <w:t> </w:t>
      </w:r>
      <w:r>
        <w:rPr>
          <w:color w:val="6E6158"/>
        </w:rPr>
        <w:t>investment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particularly</w:t>
      </w:r>
      <w:r>
        <w:rPr>
          <w:color w:val="6E6158"/>
          <w:spacing w:val="17"/>
        </w:rPr>
        <w:t> </w:t>
      </w:r>
      <w:r>
        <w:rPr>
          <w:color w:val="6E6158"/>
        </w:rPr>
        <w:t>those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6"/>
        </w:rPr>
        <w:t> </w:t>
      </w:r>
      <w:r>
        <w:rPr>
          <w:color w:val="6E6158"/>
        </w:rPr>
        <w:t>cross-border</w:t>
      </w:r>
      <w:r>
        <w:rPr>
          <w:color w:val="6E6158"/>
          <w:spacing w:val="17"/>
        </w:rPr>
        <w:t> </w:t>
      </w:r>
      <w:r>
        <w:rPr>
          <w:color w:val="6E6158"/>
        </w:rPr>
        <w:t>activity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Mexico.</w:t>
      </w:r>
    </w:p>
    <w:p>
      <w:pPr>
        <w:pStyle w:val="BodyText"/>
        <w:spacing w:line="292" w:lineRule="auto" w:before="112"/>
        <w:ind w:right="490"/>
      </w:pPr>
      <w:r>
        <w:rPr>
          <w:b/>
          <w:color w:val="6E6158"/>
        </w:rPr>
        <w:t>Export Controls and Sanctions: </w:t>
      </w:r>
      <w:r>
        <w:rPr>
          <w:color w:val="6E6158"/>
        </w:rPr>
        <w:t>Help clients navigate complex export control laws and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sanctions,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when</w:t>
      </w:r>
      <w:r>
        <w:rPr>
          <w:color w:val="6E6158"/>
          <w:spacing w:val="40"/>
        </w:rPr>
        <w:t> </w:t>
      </w:r>
      <w:r>
        <w:rPr>
          <w:color w:val="6E6158"/>
        </w:rPr>
        <w:t>dealing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sensitive</w:t>
      </w:r>
      <w:r>
        <w:rPr>
          <w:color w:val="6E6158"/>
          <w:spacing w:val="40"/>
        </w:rPr>
        <w:t> </w:t>
      </w:r>
      <w:r>
        <w:rPr>
          <w:color w:val="6E6158"/>
        </w:rPr>
        <w:t>products,</w:t>
      </w:r>
      <w:r>
        <w:rPr>
          <w:color w:val="6E6158"/>
          <w:spacing w:val="40"/>
        </w:rPr>
        <w:t> </w:t>
      </w:r>
      <w:r>
        <w:rPr>
          <w:color w:val="6E6158"/>
        </w:rPr>
        <w:t>technologies,</w:t>
      </w:r>
      <w:r>
        <w:rPr>
          <w:color w:val="6E6158"/>
          <w:spacing w:val="40"/>
        </w:rPr>
        <w:t> </w:t>
      </w:r>
      <w:r>
        <w:rPr>
          <w:color w:val="6E6158"/>
        </w:rPr>
        <w:t>and restricted countries or parties</w:t>
      </w:r>
    </w:p>
    <w:p>
      <w:pPr>
        <w:pStyle w:val="BodyText"/>
        <w:spacing w:before="132"/>
      </w:pPr>
      <w:r>
        <w:rPr>
          <w:b/>
          <w:color w:val="6E6158"/>
        </w:rPr>
        <w:t>Agribusiness:</w:t>
      </w:r>
      <w:r>
        <w:rPr>
          <w:b/>
          <w:color w:val="6E6158"/>
          <w:spacing w:val="14"/>
        </w:rPr>
        <w:t> </w:t>
      </w:r>
      <w:r>
        <w:rPr>
          <w:color w:val="6E6158"/>
        </w:rPr>
        <w:t>Assist</w:t>
      </w:r>
      <w:r>
        <w:rPr>
          <w:color w:val="6E6158"/>
          <w:spacing w:val="16"/>
        </w:rPr>
        <w:t> </w:t>
      </w:r>
      <w:r>
        <w:rPr>
          <w:color w:val="6E6158"/>
        </w:rPr>
        <w:t>agricultural</w:t>
      </w:r>
      <w:r>
        <w:rPr>
          <w:color w:val="6E6158"/>
          <w:spacing w:val="16"/>
        </w:rPr>
        <w:t> </w:t>
      </w:r>
      <w:r>
        <w:rPr>
          <w:color w:val="6E6158"/>
        </w:rPr>
        <w:t>enterprises</w:t>
      </w:r>
      <w:r>
        <w:rPr>
          <w:color w:val="6E6158"/>
          <w:spacing w:val="15"/>
        </w:rPr>
        <w:t> </w:t>
      </w:r>
      <w:r>
        <w:rPr>
          <w:color w:val="6E6158"/>
        </w:rPr>
        <w:t>operating</w:t>
      </w:r>
      <w:r>
        <w:rPr>
          <w:color w:val="6E6158"/>
          <w:spacing w:val="16"/>
        </w:rPr>
        <w:t> </w:t>
      </w:r>
      <w:r>
        <w:rPr>
          <w:color w:val="6E6158"/>
        </w:rPr>
        <w:t>across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U.S.-Mexico</w:t>
      </w:r>
      <w:r>
        <w:rPr>
          <w:color w:val="6E6158"/>
          <w:spacing w:val="16"/>
        </w:rPr>
        <w:t> </w:t>
      </w:r>
      <w:r>
        <w:rPr>
          <w:color w:val="6E6158"/>
        </w:rPr>
        <w:t>border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trade,</w:t>
      </w:r>
    </w:p>
    <w:p>
      <w:pPr>
        <w:pStyle w:val="BodyText"/>
        <w:spacing w:line="292" w:lineRule="auto" w:before="52"/>
      </w:pPr>
      <w:r>
        <w:rPr>
          <w:color w:val="6E6158"/>
        </w:rPr>
        <w:t>investment, and regulatory matters, leveraging regional experience to address industry-</w:t>
      </w:r>
      <w:r>
        <w:rPr>
          <w:color w:val="6E6158"/>
        </w:rPr>
        <w:t>specific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challenges.</w:t>
      </w:r>
    </w:p>
    <w:p>
      <w:pPr>
        <w:pStyle w:val="BodyText"/>
        <w:spacing w:line="297" w:lineRule="auto"/>
        <w:ind w:right="490"/>
      </w:pPr>
      <w:r>
        <w:rPr>
          <w:b/>
          <w:color w:val="6E6158"/>
        </w:rPr>
        <w:t>Nearshoring: </w:t>
      </w:r>
      <w:r>
        <w:rPr>
          <w:color w:val="6E6158"/>
        </w:rPr>
        <w:t>We advise companies on nearshoring and supply chain realignment </w:t>
      </w:r>
      <w:r>
        <w:rPr>
          <w:color w:val="6E6158"/>
        </w:rPr>
        <w:t>strategies, particularly involving Mexico, helping them evaluate operational, regulatory, and trade</w:t>
      </w:r>
      <w:r>
        <w:rPr>
          <w:color w:val="6E6158"/>
          <w:spacing w:val="40"/>
        </w:rPr>
        <w:t> </w:t>
      </w:r>
      <w:r>
        <w:rPr>
          <w:color w:val="6E6158"/>
        </w:rPr>
        <w:t>considerations to reduce costs, mitigate risk, and improve market access.</w:t>
      </w:r>
    </w:p>
    <w:p>
      <w:pPr>
        <w:pStyle w:val="BodyText"/>
        <w:spacing w:after="0" w:line="29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495"/>
      </w:pPr>
      <w:r>
        <w:rPr>
          <w:color w:val="6E6158"/>
        </w:rPr>
        <w:t>Our</w:t>
      </w:r>
      <w:r>
        <w:rPr>
          <w:color w:val="6E6158"/>
          <w:spacing w:val="15"/>
        </w:rPr>
        <w:t> </w:t>
      </w:r>
      <w:r>
        <w:rPr>
          <w:color w:val="6E6158"/>
        </w:rPr>
        <w:t>focus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helping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reduce</w:t>
      </w:r>
      <w:r>
        <w:rPr>
          <w:color w:val="6E6158"/>
          <w:spacing w:val="15"/>
        </w:rPr>
        <w:t> </w:t>
      </w:r>
      <w:r>
        <w:rPr>
          <w:color w:val="6E6158"/>
        </w:rPr>
        <w:t>risk,</w:t>
      </w:r>
      <w:r>
        <w:rPr>
          <w:color w:val="6E6158"/>
          <w:spacing w:val="15"/>
        </w:rPr>
        <w:t> </w:t>
      </w:r>
      <w:r>
        <w:rPr>
          <w:color w:val="6E6158"/>
        </w:rPr>
        <w:t>stay</w:t>
      </w:r>
      <w:r>
        <w:rPr>
          <w:color w:val="6E6158"/>
          <w:spacing w:val="15"/>
        </w:rPr>
        <w:t> </w:t>
      </w:r>
      <w:r>
        <w:rPr>
          <w:color w:val="6E6158"/>
        </w:rPr>
        <w:t>compliant,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make</w:t>
      </w:r>
      <w:r>
        <w:rPr>
          <w:color w:val="6E6158"/>
          <w:spacing w:val="15"/>
        </w:rPr>
        <w:t> </w:t>
      </w:r>
      <w:r>
        <w:rPr>
          <w:color w:val="6E6158"/>
        </w:rPr>
        <w:t>informed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decisions in a rapidly changing international trade landscape.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4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international-trade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leslie-a-glick/" TargetMode="External"/><Relationship Id="rId12" Type="http://schemas.openxmlformats.org/officeDocument/2006/relationships/hyperlink" Target="https://www.fennemorelaw.com/contact-us/#fennemore-forward" TargetMode="External"/><Relationship Id="rId13" Type="http://schemas.openxmlformats.org/officeDocument/2006/relationships/hyperlink" Target="mailto:lglick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daniel-g-arana/" TargetMode="External"/><Relationship Id="rId16" Type="http://schemas.openxmlformats.org/officeDocument/2006/relationships/hyperlink" Target="https://www.fennemorelaw.com/contact-us/#nogales" TargetMode="External"/><Relationship Id="rId17" Type="http://schemas.openxmlformats.org/officeDocument/2006/relationships/hyperlink" Target="mailto:daran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- Fennemore</dc:title>
  <dcterms:created xsi:type="dcterms:W3CDTF">2026-06-12T09:18:54Z</dcterms:created>
  <dcterms:modified xsi:type="dcterms:W3CDTF">2026-06-12T09:18:54Z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