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vitt Bruce Jacob Freeman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87873" y="763308"/>
                            <a:ext cx="11449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JACOB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FREEMAN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8043" y="2500373"/>
                            <a:ext cx="1544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avitt Bruce Jacob Freeman web head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16;top:-3887;width:180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JACOB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FREEMAN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1729;width:56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206.822.6804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301;top:-1151;width:243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JACOB</w:t>
      </w:r>
      <w:r>
        <w:rPr>
          <w:color w:val="FF8100"/>
          <w:spacing w:val="6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295" w:lineRule="auto" w:before="146"/>
        <w:ind w:left="99" w:right="216"/>
      </w:pPr>
      <w:r>
        <w:rPr>
          <w:color w:val="6E6158"/>
        </w:rPr>
        <w:t>Jacob P. Freeman is an experienced litigator recognized for his client-centric advocacy and comprehensive legal analysis. He effectively represents both plaintiffs and defendants in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high-stakes cases in federal and state courts and arbitral proceedings. Skilled in evaluating the</w:t>
      </w:r>
      <w:r>
        <w:rPr>
          <w:color w:val="6E6158"/>
          <w:spacing w:val="40"/>
        </w:rPr>
        <w:t> </w:t>
      </w:r>
      <w:r>
        <w:rPr>
          <w:color w:val="6E6158"/>
        </w:rPr>
        <w:t>intricacies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often</w:t>
      </w:r>
      <w:r>
        <w:rPr>
          <w:color w:val="6E6158"/>
          <w:spacing w:val="31"/>
        </w:rPr>
        <w:t> </w:t>
      </w:r>
      <w:r>
        <w:rPr>
          <w:color w:val="6E6158"/>
        </w:rPr>
        <w:t>resolves</w:t>
      </w:r>
      <w:r>
        <w:rPr>
          <w:color w:val="6E6158"/>
          <w:spacing w:val="31"/>
        </w:rPr>
        <w:t> </w:t>
      </w:r>
      <w:r>
        <w:rPr>
          <w:color w:val="6E6158"/>
        </w:rPr>
        <w:t>disputes</w:t>
      </w:r>
      <w:r>
        <w:rPr>
          <w:color w:val="6E6158"/>
          <w:spacing w:val="31"/>
        </w:rPr>
        <w:t> </w:t>
      </w:r>
      <w:r>
        <w:rPr>
          <w:color w:val="6E6158"/>
        </w:rPr>
        <w:t>without</w:t>
      </w:r>
      <w:r>
        <w:rPr>
          <w:color w:val="6E6158"/>
          <w:spacing w:val="31"/>
        </w:rPr>
        <w:t> </w:t>
      </w:r>
      <w:r>
        <w:rPr>
          <w:color w:val="6E6158"/>
        </w:rPr>
        <w:t>formal</w:t>
      </w:r>
      <w:r>
        <w:rPr>
          <w:color w:val="6E6158"/>
          <w:spacing w:val="31"/>
        </w:rPr>
        <w:t> </w:t>
      </w:r>
      <w:r>
        <w:rPr>
          <w:color w:val="6E6158"/>
        </w:rPr>
        <w:t>proceedings,</w:t>
      </w:r>
      <w:r>
        <w:rPr>
          <w:color w:val="6E6158"/>
          <w:spacing w:val="31"/>
        </w:rPr>
        <w:t> </w:t>
      </w:r>
      <w:r>
        <w:rPr>
          <w:color w:val="6E6158"/>
        </w:rPr>
        <w:t>but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fully prepared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when</w:t>
      </w:r>
      <w:r>
        <w:rPr>
          <w:color w:val="6E6158"/>
          <w:spacing w:val="32"/>
        </w:rPr>
        <w:t> </w:t>
      </w:r>
      <w:r>
        <w:rPr>
          <w:color w:val="6E6158"/>
        </w:rPr>
        <w:t>needed,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cases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pre-complaint</w:t>
      </w:r>
      <w:r>
        <w:rPr>
          <w:color w:val="6E6158"/>
          <w:spacing w:val="32"/>
        </w:rPr>
        <w:t> </w:t>
      </w:r>
      <w:r>
        <w:rPr>
          <w:color w:val="6E6158"/>
        </w:rPr>
        <w:t>demands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trials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8"/>
        <w:ind w:left="99" w:right="216"/>
      </w:pPr>
      <w:r>
        <w:rPr>
          <w:color w:val="6E6158"/>
        </w:rPr>
        <w:t>appeals. His diverse caseload includes disputes involving intellectual property, </w:t>
      </w:r>
      <w:r>
        <w:rPr>
          <w:color w:val="6E6158"/>
        </w:rPr>
        <w:t>restrictive covenants, business acquisitions, and commercial leases.</w:t>
      </w:r>
    </w:p>
    <w:p>
      <w:pPr>
        <w:pStyle w:val="BodyText"/>
        <w:spacing w:line="295" w:lineRule="auto" w:before="197"/>
        <w:ind w:left="99" w:right="159"/>
      </w:pPr>
      <w:r>
        <w:rPr>
          <w:color w:val="6E6158"/>
        </w:rPr>
        <w:t>Jacob started his career at Sullivan &amp; Cromwell in New York where he focused on securities fraud</w:t>
      </w:r>
      <w:r>
        <w:rPr>
          <w:color w:val="6E6158"/>
          <w:spacing w:val="40"/>
        </w:rPr>
        <w:t> </w:t>
      </w:r>
      <w:r>
        <w:rPr>
          <w:color w:val="6E6158"/>
        </w:rPr>
        <w:t>and government investigations, and he later worked at Davis &amp; Gilbert in New York, handling</w:t>
      </w:r>
      <w:r>
        <w:rPr>
          <w:color w:val="6E6158"/>
          <w:spacing w:val="40"/>
        </w:rPr>
        <w:t> </w:t>
      </w:r>
      <w:r>
        <w:rPr>
          <w:color w:val="6E6158"/>
        </w:rPr>
        <w:t>litigation for marketing and communications firms. He clerked for the Honorable Sandra Lynch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Court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Appeals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Circuit</w:t>
      </w:r>
      <w:r>
        <w:rPr>
          <w:color w:val="6E6158"/>
          <w:spacing w:val="25"/>
        </w:rPr>
        <w:t> </w:t>
      </w:r>
      <w:r>
        <w:rPr>
          <w:color w:val="6E6158"/>
        </w:rPr>
        <w:t>after</w:t>
      </w:r>
      <w:r>
        <w:rPr>
          <w:color w:val="6E6158"/>
          <w:spacing w:val="25"/>
        </w:rPr>
        <w:t> </w:t>
      </w:r>
      <w:r>
        <w:rPr>
          <w:color w:val="6E6158"/>
        </w:rPr>
        <w:t>graduating</w:t>
      </w:r>
      <w:r>
        <w:rPr>
          <w:color w:val="6E6158"/>
          <w:spacing w:val="25"/>
        </w:rPr>
        <w:t> </w:t>
      </w:r>
      <w:r>
        <w:rPr>
          <w:color w:val="6E6158"/>
        </w:rPr>
        <w:t>magna</w:t>
      </w:r>
      <w:r>
        <w:rPr>
          <w:color w:val="6E6158"/>
          <w:spacing w:val="25"/>
        </w:rPr>
        <w:t> </w:t>
      </w:r>
      <w:r>
        <w:rPr>
          <w:color w:val="6E6158"/>
        </w:rPr>
        <w:t>cum</w:t>
      </w:r>
      <w:r>
        <w:rPr>
          <w:color w:val="6E6158"/>
          <w:spacing w:val="25"/>
        </w:rPr>
        <w:t> </w:t>
      </w:r>
      <w:r>
        <w:rPr>
          <w:color w:val="6E6158"/>
        </w:rPr>
        <w:t>laude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Harvard</w:t>
      </w:r>
    </w:p>
    <w:p>
      <w:pPr>
        <w:pStyle w:val="BodyText"/>
        <w:spacing w:line="292" w:lineRule="auto" w:before="1"/>
        <w:ind w:left="99" w:right="216"/>
      </w:pPr>
      <w:r>
        <w:rPr>
          <w:color w:val="6E6158"/>
        </w:rPr>
        <w:t>Law School, where he was an editor for the Harvard Law Review. Jacob’s background highlights</w:t>
      </w:r>
      <w:r>
        <w:rPr>
          <w:color w:val="6E6158"/>
          <w:spacing w:val="40"/>
        </w:rPr>
        <w:t> </w:t>
      </w:r>
      <w:r>
        <w:rPr>
          <w:color w:val="6E6158"/>
        </w:rPr>
        <w:t>his ability to navigate complex legal scenarios.</w:t>
      </w:r>
    </w:p>
    <w:p>
      <w:pPr>
        <w:pStyle w:val="BodyText"/>
        <w:spacing w:line="292" w:lineRule="auto" w:before="205"/>
        <w:ind w:left="99" w:right="216"/>
      </w:pPr>
      <w:r>
        <w:rPr>
          <w:color w:val="6E6158"/>
        </w:rPr>
        <w:t>Jacob is a native of Western Washington, and thus grew up in a pair of hiking boots. In his free</w:t>
      </w:r>
      <w:r>
        <w:rPr>
          <w:color w:val="6E6158"/>
          <w:spacing w:val="40"/>
        </w:rPr>
        <w:t> </w:t>
      </w:r>
      <w:r>
        <w:rPr>
          <w:color w:val="6E6158"/>
        </w:rPr>
        <w:t>time, Jacob still enjoys camping and hiking, as well as bird watching.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Harvard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9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Pacific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Lutheran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789"/>
      </w:pPr>
      <w:r>
        <w:rPr>
          <w:color w:val="6E6158"/>
        </w:rPr>
        <w:t>Business Litigation 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rPr>
          <w:b w:val="0"/>
          <w:i w:val="0"/>
          <w:sz w:val="19"/>
        </w:rPr>
      </w:pPr>
      <w:r>
        <w:rPr>
          <w:i/>
          <w:color w:val="6E6158"/>
          <w:spacing w:val="-2"/>
        </w:rPr>
        <w:t>Residential</w:t>
      </w:r>
      <w:r>
        <w:rPr>
          <w:i/>
          <w:color w:val="6E6158"/>
          <w:spacing w:val="-5"/>
        </w:rPr>
        <w:t> </w:t>
      </w:r>
      <w:r>
        <w:rPr>
          <w:i/>
          <w:color w:val="6E6158"/>
          <w:spacing w:val="-2"/>
        </w:rPr>
        <w:t>Mortgage</w:t>
      </w:r>
      <w:r>
        <w:rPr>
          <w:i/>
          <w:color w:val="6E6158"/>
          <w:spacing w:val="-5"/>
        </w:rPr>
        <w:t> </w:t>
      </w:r>
      <w:r>
        <w:rPr>
          <w:i/>
          <w:color w:val="6E6158"/>
          <w:spacing w:val="-2"/>
        </w:rPr>
        <w:t>Backed</w:t>
      </w:r>
      <w:r>
        <w:rPr>
          <w:i/>
          <w:color w:val="6E6158"/>
          <w:spacing w:val="-5"/>
        </w:rPr>
        <w:t> </w:t>
      </w:r>
      <w:r>
        <w:rPr>
          <w:i/>
          <w:color w:val="6E6158"/>
          <w:spacing w:val="-2"/>
        </w:rPr>
        <w:t>Securities</w:t>
      </w:r>
      <w:r>
        <w:rPr>
          <w:i/>
          <w:color w:val="6E6158"/>
          <w:spacing w:val="-5"/>
        </w:rPr>
        <w:t> </w:t>
      </w:r>
      <w:r>
        <w:rPr>
          <w:i/>
          <w:color w:val="6E6158"/>
          <w:spacing w:val="-2"/>
        </w:rPr>
        <w:t>Litigation</w:t>
      </w:r>
      <w:r>
        <w:rPr>
          <w:i/>
          <w:color w:val="6E6158"/>
          <w:spacing w:val="-5"/>
        </w:rPr>
        <w:t> </w:t>
      </w:r>
      <w:r>
        <w:rPr>
          <w:i/>
          <w:color w:val="6E6158"/>
          <w:spacing w:val="-2"/>
        </w:rPr>
        <w:t>for</w:t>
      </w:r>
      <w:r>
        <w:rPr>
          <w:i/>
          <w:color w:val="6E6158"/>
          <w:spacing w:val="-5"/>
        </w:rPr>
        <w:t> </w:t>
      </w:r>
      <w:r>
        <w:rPr>
          <w:i/>
          <w:color w:val="6E6158"/>
          <w:spacing w:val="-2"/>
        </w:rPr>
        <w:t>Barclays</w:t>
      </w:r>
      <w:r>
        <w:rPr>
          <w:i/>
          <w:color w:val="6E6158"/>
          <w:spacing w:val="-4"/>
        </w:rPr>
        <w:t> </w:t>
      </w:r>
      <w:r>
        <w:rPr>
          <w:i/>
          <w:color w:val="6E6158"/>
          <w:spacing w:val="-2"/>
        </w:rPr>
        <w:t>Capital</w:t>
      </w:r>
      <w:r>
        <w:rPr>
          <w:i/>
          <w:color w:val="6E6158"/>
          <w:spacing w:val="-5"/>
        </w:rPr>
        <w:t> </w:t>
      </w:r>
      <w:r>
        <w:rPr>
          <w:i/>
          <w:color w:val="6E6158"/>
          <w:spacing w:val="-2"/>
        </w:rPr>
        <w:t>Inc.</w:t>
      </w:r>
      <w:r>
        <w:rPr>
          <w:i/>
          <w:color w:val="6E6158"/>
          <w:spacing w:val="46"/>
        </w:rPr>
        <w:t> </w:t>
      </w:r>
      <w:r>
        <w:rPr>
          <w:b w:val="0"/>
          <w:i w:val="0"/>
          <w:color w:val="6E6158"/>
          <w:spacing w:val="-2"/>
          <w:sz w:val="19"/>
        </w:rPr>
        <w:t>Defended global</w:t>
      </w:r>
    </w:p>
    <w:p>
      <w:pPr>
        <w:pStyle w:val="BodyText"/>
        <w:spacing w:line="302" w:lineRule="auto" w:before="50"/>
        <w:ind w:left="99" w:right="159"/>
      </w:pPr>
      <w:r>
        <w:rPr>
          <w:color w:val="6E6158"/>
        </w:rPr>
        <w:t>investment bank and related entities in lawsuits and investigations concerning alleged </w:t>
      </w:r>
      <w:r>
        <w:rPr>
          <w:color w:val="6E6158"/>
        </w:rPr>
        <w:t>securities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violations,</w:t>
      </w:r>
      <w:r>
        <w:rPr>
          <w:color w:val="6E6158"/>
          <w:spacing w:val="35"/>
        </w:rPr>
        <w:t> </w:t>
      </w:r>
      <w:r>
        <w:rPr>
          <w:color w:val="6E6158"/>
        </w:rPr>
        <w:t>breach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contract,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fraud;</w:t>
      </w:r>
      <w:r>
        <w:rPr>
          <w:color w:val="6E6158"/>
          <w:spacing w:val="35"/>
        </w:rPr>
        <w:t> </w:t>
      </w:r>
      <w:r>
        <w:rPr>
          <w:color w:val="6E6158"/>
        </w:rPr>
        <w:t>developed</w:t>
      </w:r>
      <w:r>
        <w:rPr>
          <w:color w:val="6E6158"/>
          <w:spacing w:val="35"/>
        </w:rPr>
        <w:t> </w:t>
      </w:r>
      <w:r>
        <w:rPr>
          <w:color w:val="6E6158"/>
        </w:rPr>
        <w:t>key</w:t>
      </w:r>
      <w:r>
        <w:rPr>
          <w:color w:val="6E6158"/>
          <w:spacing w:val="35"/>
        </w:rPr>
        <w:t> </w:t>
      </w:r>
      <w:r>
        <w:rPr>
          <w:color w:val="6E6158"/>
        </w:rPr>
        <w:t>arguments</w:t>
      </w:r>
      <w:r>
        <w:rPr>
          <w:color w:val="6E6158"/>
          <w:spacing w:val="35"/>
        </w:rPr>
        <w:t> </w:t>
      </w:r>
      <w:r>
        <w:rPr>
          <w:color w:val="6E6158"/>
        </w:rPr>
        <w:t>regarding</w:t>
      </w:r>
      <w:r>
        <w:rPr>
          <w:color w:val="6E6158"/>
          <w:spacing w:val="35"/>
        </w:rPr>
        <w:t> </w:t>
      </w:r>
      <w:r>
        <w:rPr>
          <w:color w:val="6E6158"/>
        </w:rPr>
        <w:t>securities,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fraud, statutes of limitations/repose, personal jurisdiction, and standing; obtained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settlement.</w:t>
      </w:r>
    </w:p>
    <w:p>
      <w:pPr>
        <w:spacing w:line="295" w:lineRule="auto" w:before="104"/>
        <w:ind w:left="99" w:right="567" w:firstLine="0"/>
        <w:jc w:val="both"/>
        <w:rPr>
          <w:sz w:val="19"/>
        </w:rPr>
      </w:pPr>
      <w:r>
        <w:rPr>
          <w:b/>
          <w:i/>
          <w:color w:val="6E6158"/>
          <w:sz w:val="20"/>
        </w:rPr>
        <w:t>The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Beanstalk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Group,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London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Luxury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LLC.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related claims on behalf of licensor to obtain improperly calculated and withheld royalty </w:t>
      </w:r>
      <w:r>
        <w:rPr>
          <w:color w:val="6E6158"/>
          <w:sz w:val="19"/>
        </w:rPr>
        <w:t>payments; obtained favorable settlement during discovery.</w:t>
      </w:r>
    </w:p>
    <w:p>
      <w:pPr>
        <w:pStyle w:val="BodyText"/>
        <w:spacing w:line="295" w:lineRule="auto" w:before="110"/>
        <w:ind w:left="99" w:right="216"/>
      </w:pPr>
      <w:r>
        <w:rPr>
          <w:b/>
          <w:i/>
          <w:color w:val="6E6158"/>
          <w:sz w:val="20"/>
        </w:rPr>
        <w:t>Vioni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Providence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Investment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Management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&amp;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Russell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Jeffrey.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</w:t>
      </w:r>
      <w:r>
        <w:rPr>
          <w:color w:val="6E6158"/>
          <w:spacing w:val="-4"/>
        </w:rPr>
        <w:t> </w:t>
      </w:r>
      <w:r>
        <w:rPr>
          <w:color w:val="6E6158"/>
        </w:rPr>
        <w:t>hedge</w:t>
      </w:r>
      <w:r>
        <w:rPr>
          <w:color w:val="6E6158"/>
          <w:spacing w:val="-4"/>
        </w:rPr>
        <w:t> </w:t>
      </w:r>
      <w:r>
        <w:rPr>
          <w:color w:val="6E6158"/>
        </w:rPr>
        <w:t>fund manager and its principal against quantum meruit claim for damages brought by </w:t>
      </w:r>
      <w:r>
        <w:rPr>
          <w:color w:val="6E6158"/>
        </w:rPr>
        <w:t>“finder”;</w:t>
      </w:r>
      <w:r>
        <w:rPr>
          <w:color w:val="6E6158"/>
          <w:spacing w:val="40"/>
        </w:rPr>
        <w:t> </w:t>
      </w:r>
      <w:r>
        <w:rPr>
          <w:color w:val="6E6158"/>
        </w:rPr>
        <w:t>dramatically reduced possible damages before trial, then obtained directed verdict for</w:t>
      </w:r>
      <w:r>
        <w:rPr>
          <w:color w:val="6E6158"/>
          <w:spacing w:val="40"/>
        </w:rPr>
        <w:t> </w:t>
      </w:r>
      <w:r>
        <w:rPr>
          <w:color w:val="6E6158"/>
        </w:rPr>
        <w:t>defendants after federal jury trial, and defended judgment on appeal.</w:t>
      </w:r>
    </w:p>
    <w:p>
      <w:pPr>
        <w:spacing w:line="295" w:lineRule="auto" w:before="108"/>
        <w:ind w:left="99" w:right="159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55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Washington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Street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&amp;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Brooklake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Associates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Clear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Channel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Outdoor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Defended outdoor advertising company against claims brought by building owner alleging improper </w:t>
      </w:r>
      <w:r>
        <w:rPr>
          <w:color w:val="6E6158"/>
          <w:sz w:val="19"/>
        </w:rPr>
        <w:t>lease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terminations for billboards that ran afoul of city regulations; obtained favorable settlement while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case was on appeal from summary judgment.</w:t>
      </w:r>
    </w:p>
    <w:p>
      <w:pPr>
        <w:pStyle w:val="BodyText"/>
        <w:spacing w:line="295" w:lineRule="auto" w:before="108"/>
        <w:ind w:left="99" w:right="207"/>
      </w:pPr>
      <w:r>
        <w:rPr>
          <w:b/>
          <w:i/>
          <w:color w:val="6E6158"/>
          <w:sz w:val="20"/>
        </w:rPr>
        <w:t>BP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399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Park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Avenue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Pret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A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Manger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(USA)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Limited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&amp;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Pret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399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Park,</w:t>
      </w:r>
      <w:r>
        <w:rPr>
          <w:b/>
          <w:i/>
          <w:color w:val="6E6158"/>
          <w:spacing w:val="-9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38"/>
          <w:sz w:val="20"/>
        </w:rPr>
        <w:t> </w:t>
      </w:r>
      <w:r>
        <w:rPr>
          <w:color w:val="6E6158"/>
        </w:rPr>
        <w:t>Defended</w:t>
      </w:r>
      <w:r>
        <w:rPr>
          <w:color w:val="6E6158"/>
          <w:spacing w:val="-6"/>
        </w:rPr>
        <w:t> </w:t>
      </w:r>
      <w:r>
        <w:rPr>
          <w:color w:val="6E6158"/>
        </w:rPr>
        <w:t>owner</w:t>
      </w:r>
      <w:r>
        <w:rPr>
          <w:color w:val="6E6158"/>
          <w:spacing w:val="-6"/>
        </w:rPr>
        <w:t> </w:t>
      </w:r>
      <w:r>
        <w:rPr>
          <w:color w:val="6E6158"/>
        </w:rPr>
        <w:t>of international chain of sandwich shops against commercial landlord’s claims asserting chain</w:t>
      </w:r>
      <w:r>
        <w:rPr>
          <w:color w:val="6E6158"/>
          <w:spacing w:val="40"/>
        </w:rPr>
        <w:t> </w:t>
      </w:r>
      <w:r>
        <w:rPr>
          <w:color w:val="6E6158"/>
        </w:rPr>
        <w:t>subsidiary’s breach of lease and seeking to pierce the corporate veil to recover damages from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chain’s</w:t>
      </w:r>
      <w:r>
        <w:rPr>
          <w:color w:val="6E6158"/>
          <w:spacing w:val="37"/>
        </w:rPr>
        <w:t> </w:t>
      </w:r>
      <w:r>
        <w:rPr>
          <w:color w:val="6E6158"/>
        </w:rPr>
        <w:t>owner;</w:t>
      </w:r>
      <w:r>
        <w:rPr>
          <w:color w:val="6E6158"/>
          <w:spacing w:val="37"/>
        </w:rPr>
        <w:t> </w:t>
      </w:r>
      <w:r>
        <w:rPr>
          <w:color w:val="6E6158"/>
        </w:rPr>
        <w:t>obtained</w:t>
      </w:r>
      <w:r>
        <w:rPr>
          <w:color w:val="6E6158"/>
          <w:spacing w:val="37"/>
        </w:rPr>
        <w:t> </w:t>
      </w:r>
      <w:r>
        <w:rPr>
          <w:color w:val="6E6158"/>
        </w:rPr>
        <w:t>favorable</w:t>
      </w:r>
      <w:r>
        <w:rPr>
          <w:color w:val="6E6158"/>
          <w:spacing w:val="37"/>
        </w:rPr>
        <w:t> </w:t>
      </w:r>
      <w:r>
        <w:rPr>
          <w:color w:val="6E6158"/>
        </w:rPr>
        <w:t>summary</w:t>
      </w:r>
      <w:r>
        <w:rPr>
          <w:color w:val="6E6158"/>
          <w:spacing w:val="37"/>
        </w:rPr>
        <w:t> </w:t>
      </w:r>
      <w:r>
        <w:rPr>
          <w:color w:val="6E6158"/>
        </w:rPr>
        <w:t>judgment;</w:t>
      </w:r>
      <w:r>
        <w:rPr>
          <w:color w:val="6E6158"/>
          <w:spacing w:val="37"/>
        </w:rPr>
        <w:t> </w:t>
      </w:r>
      <w:r>
        <w:rPr>
          <w:color w:val="6E6158"/>
        </w:rPr>
        <w:t>case</w:t>
      </w:r>
      <w:r>
        <w:rPr>
          <w:color w:val="6E6158"/>
          <w:spacing w:val="37"/>
        </w:rPr>
        <w:t> </w:t>
      </w:r>
      <w:r>
        <w:rPr>
          <w:color w:val="6E6158"/>
        </w:rPr>
        <w:t>favorably</w:t>
      </w:r>
      <w:r>
        <w:rPr>
          <w:color w:val="6E6158"/>
          <w:spacing w:val="37"/>
        </w:rPr>
        <w:t> </w:t>
      </w:r>
      <w:r>
        <w:rPr>
          <w:color w:val="6E6158"/>
        </w:rPr>
        <w:t>settled</w:t>
      </w:r>
      <w:r>
        <w:rPr>
          <w:color w:val="6E6158"/>
          <w:spacing w:val="37"/>
        </w:rPr>
        <w:t> </w:t>
      </w:r>
      <w:r>
        <w:rPr>
          <w:color w:val="6E6158"/>
        </w:rPr>
        <w:t>after appellate ruling substantially upholding summary judgment.</w:t>
      </w:r>
    </w:p>
    <w:p>
      <w:pPr>
        <w:pStyle w:val="BodyText"/>
        <w:spacing w:line="292" w:lineRule="auto" w:before="115"/>
        <w:ind w:left="99" w:right="216"/>
      </w:pPr>
      <w:r>
        <w:rPr>
          <w:b/>
          <w:i/>
          <w:color w:val="6E6158"/>
          <w:sz w:val="20"/>
        </w:rPr>
        <w:t>47 Degrees, LLC v. FINN Partners, Inc.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tenant against subtenant in dispute over unpaid rent and whether client unreasonably withheld consent to a sub-sublease of </w:t>
      </w:r>
      <w:r>
        <w:rPr>
          <w:color w:val="6E6158"/>
        </w:rPr>
        <w:t>premises.</w:t>
      </w:r>
      <w:r>
        <w:rPr>
          <w:color w:val="6E6158"/>
          <w:spacing w:val="40"/>
        </w:rPr>
        <w:t> </w:t>
      </w:r>
      <w:r>
        <w:rPr>
          <w:color w:val="6E6158"/>
        </w:rPr>
        <w:t>Obtained favorable settlement at mediation before potentially costly depositions and expert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discovery.</w:t>
      </w:r>
    </w:p>
    <w:p>
      <w:pPr>
        <w:pStyle w:val="BodyText"/>
        <w:spacing w:line="290" w:lineRule="auto" w:before="118"/>
        <w:ind w:left="99" w:right="361"/>
      </w:pPr>
      <w:r>
        <w:rPr>
          <w:b/>
          <w:i/>
          <w:color w:val="6E6158"/>
          <w:sz w:val="20"/>
        </w:rPr>
        <w:t>Funko, LLC v. Manchanda.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independent blogger against claims of misappropriation of trade secrets based on his posting “leaks” he received from third parties regarding upcoming</w:t>
      </w:r>
      <w:r>
        <w:rPr>
          <w:color w:val="6E6158"/>
          <w:spacing w:val="40"/>
        </w:rPr>
        <w:t> </w:t>
      </w:r>
      <w:r>
        <w:rPr>
          <w:color w:val="6E6158"/>
        </w:rPr>
        <w:t>unannounced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releases.</w:t>
      </w:r>
      <w:r>
        <w:rPr>
          <w:color w:val="6E6158"/>
          <w:spacing w:val="80"/>
        </w:rPr>
        <w:t> </w:t>
      </w:r>
      <w:r>
        <w:rPr>
          <w:color w:val="6E6158"/>
        </w:rPr>
        <w:t>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</w:t>
      </w:r>
      <w:r>
        <w:rPr>
          <w:color w:val="6E6158"/>
          <w:spacing w:val="40"/>
        </w:rPr>
        <w:t> </w:t>
      </w:r>
      <w:r>
        <w:rPr>
          <w:color w:val="6E6158"/>
        </w:rPr>
        <w:t>during</w:t>
      </w:r>
      <w:r>
        <w:rPr>
          <w:color w:val="6E6158"/>
          <w:spacing w:val="40"/>
        </w:rPr>
        <w:t> </w:t>
      </w:r>
      <w:r>
        <w:rPr>
          <w:color w:val="6E6158"/>
        </w:rPr>
        <w:t>discovery.</w:t>
      </w:r>
    </w:p>
    <w:p>
      <w:pPr>
        <w:spacing w:line="297" w:lineRule="auto" w:before="116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Hendrickson v. Twin Apartments, LLC.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Represented, pro bono, former tenant who, with his family, was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illegally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evicted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his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apartment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during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first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year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COVID-19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pandemic.</w:t>
      </w:r>
    </w:p>
    <w:p>
      <w:pPr>
        <w:pStyle w:val="BodyText"/>
        <w:spacing w:line="228" w:lineRule="exact"/>
        <w:ind w:left="154"/>
      </w:pPr>
      <w:r>
        <w:rPr>
          <w:color w:val="6E6158"/>
        </w:rPr>
        <w:t>Obtained</w:t>
      </w:r>
      <w:r>
        <w:rPr>
          <w:color w:val="6E6158"/>
          <w:spacing w:val="17"/>
        </w:rPr>
        <w:t> </w:t>
      </w:r>
      <w:r>
        <w:rPr>
          <w:color w:val="6E6158"/>
        </w:rPr>
        <w:t>favorable</w:t>
      </w:r>
      <w:r>
        <w:rPr>
          <w:color w:val="6E6158"/>
          <w:spacing w:val="18"/>
        </w:rPr>
        <w:t> </w:t>
      </w:r>
      <w:r>
        <w:rPr>
          <w:color w:val="6E6158"/>
        </w:rPr>
        <w:t>settlement</w:t>
      </w:r>
      <w:r>
        <w:rPr>
          <w:color w:val="6E6158"/>
          <w:spacing w:val="18"/>
        </w:rPr>
        <w:t> </w:t>
      </w:r>
      <w:r>
        <w:rPr>
          <w:color w:val="6E6158"/>
        </w:rPr>
        <w:t>during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discovery.</w:t>
      </w:r>
    </w:p>
    <w:p>
      <w:pPr>
        <w:pStyle w:val="BodyText"/>
        <w:spacing w:line="297" w:lineRule="auto" w:before="163"/>
        <w:ind w:left="99"/>
      </w:pPr>
      <w:r>
        <w:rPr>
          <w:b/>
          <w:i/>
          <w:color w:val="6E6158"/>
          <w:sz w:val="20"/>
        </w:rPr>
        <w:t>Anderson v. Gibraltar.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former owner of assisted living facility against wrongful death claim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survivors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deceased</w:t>
      </w:r>
      <w:r>
        <w:rPr>
          <w:color w:val="6E6158"/>
          <w:spacing w:val="26"/>
        </w:rPr>
        <w:t> </w:t>
      </w:r>
      <w:r>
        <w:rPr>
          <w:color w:val="6E6158"/>
        </w:rPr>
        <w:t>resident</w:t>
      </w:r>
      <w:r>
        <w:rPr>
          <w:color w:val="6E6158"/>
          <w:spacing w:val="26"/>
        </w:rPr>
        <w:t> </w:t>
      </w:r>
      <w:r>
        <w:rPr>
          <w:color w:val="6E6158"/>
        </w:rPr>
        <w:t>who</w:t>
      </w:r>
      <w:r>
        <w:rPr>
          <w:color w:val="6E6158"/>
          <w:spacing w:val="26"/>
        </w:rPr>
        <w:t> </w:t>
      </w:r>
      <w:r>
        <w:rPr>
          <w:color w:val="6E6158"/>
        </w:rPr>
        <w:t>died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COVID-19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beginning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left="99" w:right="361"/>
      </w:pPr>
      <w:r>
        <w:rPr>
          <w:color w:val="6E6158"/>
        </w:rPr>
        <w:t>pandemic.</w:t>
      </w:r>
      <w:r>
        <w:rPr>
          <w:color w:val="6E6158"/>
          <w:spacing w:val="80"/>
        </w:rPr>
        <w:t> </w:t>
      </w:r>
      <w:r>
        <w:rPr>
          <w:color w:val="6E6158"/>
        </w:rPr>
        <w:t>Helped obtain full dismissal of claims against former owner and obtain full coverage</w:t>
      </w:r>
      <w:r>
        <w:rPr>
          <w:color w:val="6E6158"/>
          <w:spacing w:val="40"/>
        </w:rPr>
        <w:t> </w:t>
      </w:r>
      <w:r>
        <w:rPr>
          <w:color w:val="6E6158"/>
        </w:rPr>
        <w:t>of his legal costs from insurer.</w:t>
      </w:r>
    </w:p>
    <w:p>
      <w:pPr>
        <w:spacing w:line="297" w:lineRule="auto" w:before="109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Kennewick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Public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Hospital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District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The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University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Puget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Sound.</w:t>
      </w:r>
      <w:r>
        <w:rPr>
          <w:b/>
          <w:i/>
          <w:color w:val="6E6158"/>
          <w:spacing w:val="34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in adversary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proceeding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over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enforceability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client’s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settlement</w:t>
      </w:r>
    </w:p>
    <w:p>
      <w:pPr>
        <w:pStyle w:val="BodyText"/>
        <w:spacing w:line="292" w:lineRule="auto"/>
        <w:ind w:left="99" w:right="361"/>
      </w:pPr>
      <w:r>
        <w:rPr>
          <w:color w:val="6E6158"/>
        </w:rPr>
        <w:t>agreement with bankrupt municipal entity.</w:t>
      </w:r>
      <w:r>
        <w:rPr>
          <w:color w:val="6E6158"/>
          <w:spacing w:val="40"/>
        </w:rPr>
        <w:t> </w:t>
      </w:r>
      <w:r>
        <w:rPr>
          <w:color w:val="6E6158"/>
        </w:rPr>
        <w:t>Obtained favorable settlement after cross </w:t>
      </w:r>
      <w:r>
        <w:rPr>
          <w:color w:val="6E6158"/>
        </w:rPr>
        <w:t>motions</w:t>
      </w:r>
      <w:r>
        <w:rPr>
          <w:color w:val="6E6158"/>
          <w:spacing w:val="40"/>
        </w:rPr>
        <w:t> </w:t>
      </w:r>
      <w:r>
        <w:rPr>
          <w:color w:val="6E6158"/>
        </w:rPr>
        <w:t>for summary judgment.</w:t>
      </w:r>
    </w:p>
    <w:p>
      <w:pPr>
        <w:pStyle w:val="BodyText"/>
        <w:spacing w:before="107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Washington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Stars,</w:t>
      </w:r>
      <w:r>
        <w:rPr>
          <w:color w:val="6E6158"/>
          <w:spacing w:val="15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2022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99" w:right="1992"/>
      </w:pPr>
      <w:r>
        <w:rPr>
          <w:color w:val="6E6158"/>
        </w:rPr>
        <w:t>Member, Federal Bar Association of the Western District of </w:t>
      </w:r>
      <w:r>
        <w:rPr>
          <w:color w:val="6E6158"/>
        </w:rPr>
        <w:t>Washington Member, Washington State Bar Association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790"/>
      </w:pPr>
      <w:r>
        <w:rPr>
          <w:color w:val="6E6158"/>
          <w:spacing w:val="-2"/>
        </w:rPr>
        <w:t>Washington </w:t>
      </w:r>
      <w:r>
        <w:rPr>
          <w:color w:val="6E6158"/>
        </w:rPr>
        <w:t>New York</w:t>
      </w:r>
    </w:p>
    <w:p>
      <w:pPr>
        <w:pStyle w:val="BodyText"/>
        <w:spacing w:line="420" w:lineRule="auto"/>
        <w:ind w:left="99" w:right="4402"/>
      </w:pPr>
      <w:r>
        <w:rPr>
          <w:color w:val="6E6158"/>
        </w:rPr>
        <w:t>United States Court of Appeals, Second </w:t>
      </w:r>
      <w:r>
        <w:rPr>
          <w:color w:val="6E6158"/>
        </w:rPr>
        <w:t>Circuit United States Court of Appeals, Ninth Circuit</w:t>
      </w:r>
    </w:p>
    <w:p>
      <w:pPr>
        <w:pStyle w:val="BodyText"/>
        <w:spacing w:line="420" w:lineRule="auto" w:before="5"/>
        <w:ind w:left="99" w:right="3442"/>
      </w:pPr>
      <w:r>
        <w:rPr>
          <w:color w:val="6E6158"/>
        </w:rPr>
        <w:t>United States District Court, Eastern District of Washington</w:t>
      </w:r>
      <w:r>
        <w:rPr>
          <w:color w:val="6E6158"/>
          <w:spacing w:val="80"/>
        </w:rPr>
        <w:t> </w:t>
      </w:r>
      <w:r>
        <w:rPr>
          <w:color w:val="6E6158"/>
        </w:rPr>
        <w:t>United States District Court, Western District of Washington United States Bankruptcy Court, Western District of </w:t>
      </w:r>
      <w:r>
        <w:rPr>
          <w:color w:val="6E6158"/>
        </w:rPr>
        <w:t>Washington United States Bankruptcy Court, Eastern District of Washington United</w:t>
      </w:r>
      <w:r>
        <w:rPr>
          <w:color w:val="6E6158"/>
          <w:spacing w:val="35"/>
        </w:rPr>
        <w:t> </w:t>
      </w:r>
      <w:r>
        <w:rPr>
          <w:color w:val="6E6158"/>
        </w:rPr>
        <w:t>States</w:t>
      </w:r>
      <w:r>
        <w:rPr>
          <w:color w:val="6E6158"/>
          <w:spacing w:val="35"/>
        </w:rPr>
        <w:t> </w:t>
      </w:r>
      <w:r>
        <w:rPr>
          <w:color w:val="6E6158"/>
        </w:rPr>
        <w:t>District</w:t>
      </w:r>
      <w:r>
        <w:rPr>
          <w:color w:val="6E6158"/>
          <w:spacing w:val="35"/>
        </w:rPr>
        <w:t> </w:t>
      </w:r>
      <w:r>
        <w:rPr>
          <w:color w:val="6E6158"/>
        </w:rPr>
        <w:t>Court,</w:t>
      </w:r>
      <w:r>
        <w:rPr>
          <w:color w:val="6E6158"/>
          <w:spacing w:val="35"/>
        </w:rPr>
        <w:t> </w:t>
      </w:r>
      <w:r>
        <w:rPr>
          <w:color w:val="6E6158"/>
        </w:rPr>
        <w:t>Southern</w:t>
      </w:r>
      <w:r>
        <w:rPr>
          <w:color w:val="6E6158"/>
          <w:spacing w:val="35"/>
        </w:rPr>
        <w:t> </w:t>
      </w:r>
      <w:r>
        <w:rPr>
          <w:color w:val="6E6158"/>
        </w:rPr>
        <w:t>District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New</w:t>
      </w:r>
      <w:r>
        <w:rPr>
          <w:color w:val="6E6158"/>
          <w:spacing w:val="35"/>
        </w:rPr>
        <w:t> </w:t>
      </w:r>
      <w:r>
        <w:rPr>
          <w:color w:val="6E6158"/>
        </w:rPr>
        <w:t>York United States District Court, Eastern District of New York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99"/>
      <w:outlineLvl w:val="2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jfree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P. Freeman - Fennemore</dc:title>
  <dcterms:created xsi:type="dcterms:W3CDTF">2026-06-12T09:58:31Z</dcterms:created>
  <dcterms:modified xsi:type="dcterms:W3CDTF">2026-06-12T09:58:31Z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