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JanuaryAllen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91280" y="1369338"/>
                            <a:ext cx="192278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2780" h="320675">
                                <a:moveTo>
                                  <a:pt x="1922233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22233" y="320382"/>
                                </a:lnTo>
                                <a:lnTo>
                                  <a:pt x="1922233" y="315214"/>
                                </a:lnTo>
                                <a:close/>
                              </a:path>
                              <a:path w="1922780" h="320675">
                                <a:moveTo>
                                  <a:pt x="19222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22233" y="5168"/>
                                </a:lnTo>
                                <a:lnTo>
                                  <a:pt x="19222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JANUARY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ALLEN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303.704.4061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jallen@fennemorelaw.com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JanuaryAllen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655;top:2156;width:3028;height:505" id="docshape5" coordorigin="5656,2156" coordsize="3028,505" path="m8683,2653l5656,2653,5656,2661,8683,2661,8683,2653xm8683,2156l5656,2156,5656,2165,8683,2165,8683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JANUARY</w:t>
                        </w:r>
                        <w:r>
                          <w:rPr>
                            <w:color w:val="FFFFFF"/>
                            <w:spacing w:val="-8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ALLEN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303.704.4061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jallen@fennemorelaw.com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JANUARY</w:t>
      </w:r>
      <w:r>
        <w:rPr>
          <w:color w:val="FF8100"/>
          <w:spacing w:val="11"/>
        </w:rPr>
        <w:t> </w:t>
      </w:r>
      <w:r>
        <w:rPr>
          <w:color w:val="FF8100"/>
          <w:spacing w:val="-2"/>
        </w:rPr>
        <w:t>ALLEN</w:t>
      </w:r>
    </w:p>
    <w:p>
      <w:pPr>
        <w:pStyle w:val="BodyText"/>
        <w:spacing w:line="297" w:lineRule="auto" w:before="147"/>
        <w:ind w:right="648"/>
      </w:pPr>
      <w:r>
        <w:rPr>
          <w:color w:val="6E6158"/>
        </w:rPr>
        <w:t>January Allen has over 20 years of experience providing efficient, solution-oriented assistance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clients in both transactional and litigation matters.</w:t>
      </w:r>
      <w:r>
        <w:rPr>
          <w:color w:val="6E6158"/>
          <w:spacing w:val="80"/>
        </w:rPr>
        <w:t> </w:t>
      </w:r>
      <w:r>
        <w:rPr>
          <w:color w:val="6E6158"/>
        </w:rPr>
        <w:t>She is an advocate and counselor for her clients in a broad array of areas, including:</w:t>
      </w:r>
    </w:p>
    <w:p>
      <w:pPr>
        <w:pStyle w:val="BodyText"/>
        <w:spacing w:line="422" w:lineRule="auto" w:before="191"/>
        <w:ind w:right="7702"/>
      </w:pPr>
      <w:r>
        <w:rPr>
          <w:color w:val="6E6158"/>
          <w:spacing w:val="-2"/>
        </w:rPr>
        <w:t>Construction </w:t>
      </w:r>
      <w:r>
        <w:rPr>
          <w:color w:val="6E6158"/>
        </w:rPr>
        <w:t>Intellectual property Real estate Insurance </w:t>
      </w:r>
      <w:r>
        <w:rPr>
          <w:color w:val="6E6158"/>
        </w:rPr>
        <w:t>coverage </w:t>
      </w:r>
      <w:r>
        <w:rPr>
          <w:color w:val="6E6158"/>
          <w:spacing w:val="-2"/>
        </w:rPr>
        <w:t>Environmental</w:t>
      </w:r>
    </w:p>
    <w:p>
      <w:pPr>
        <w:pStyle w:val="BodyText"/>
        <w:spacing w:line="420" w:lineRule="auto" w:before="1"/>
        <w:ind w:right="7702"/>
      </w:pPr>
      <w:r>
        <w:rPr>
          <w:color w:val="6E6158"/>
        </w:rPr>
        <w:t>Product </w:t>
      </w:r>
      <w:r>
        <w:rPr>
          <w:color w:val="6E6158"/>
        </w:rPr>
        <w:t>liability </w:t>
      </w:r>
      <w:r>
        <w:rPr>
          <w:color w:val="6E6158"/>
          <w:spacing w:val="-2"/>
        </w:rPr>
        <w:t>Employment</w:t>
      </w:r>
    </w:p>
    <w:p>
      <w:pPr>
        <w:pStyle w:val="BodyText"/>
        <w:spacing w:line="297" w:lineRule="auto" w:before="120"/>
        <w:ind w:right="524"/>
      </w:pPr>
      <w:r>
        <w:rPr>
          <w:color w:val="6E6158"/>
        </w:rPr>
        <w:t>Prior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joining</w:t>
      </w:r>
      <w:r>
        <w:rPr>
          <w:color w:val="6E6158"/>
          <w:spacing w:val="27"/>
        </w:rPr>
        <w:t> </w:t>
      </w:r>
      <w:r>
        <w:rPr>
          <w:color w:val="6E6158"/>
        </w:rPr>
        <w:t>Fennemore,</w:t>
      </w:r>
      <w:r>
        <w:rPr>
          <w:color w:val="6E6158"/>
          <w:spacing w:val="27"/>
        </w:rPr>
        <w:t> </w:t>
      </w:r>
      <w:r>
        <w:rPr>
          <w:color w:val="6E6158"/>
        </w:rPr>
        <w:t>she</w:t>
      </w:r>
      <w:r>
        <w:rPr>
          <w:color w:val="6E6158"/>
          <w:spacing w:val="27"/>
        </w:rPr>
        <w:t> </w:t>
      </w:r>
      <w:r>
        <w:rPr>
          <w:color w:val="6E6158"/>
        </w:rPr>
        <w:t>was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founding</w:t>
      </w:r>
      <w:r>
        <w:rPr>
          <w:color w:val="6E6158"/>
          <w:spacing w:val="27"/>
        </w:rPr>
        <w:t> </w:t>
      </w:r>
      <w:r>
        <w:rPr>
          <w:color w:val="6E6158"/>
        </w:rPr>
        <w:t>member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Galvanize</w:t>
      </w:r>
      <w:r>
        <w:rPr>
          <w:color w:val="6E6158"/>
          <w:spacing w:val="27"/>
        </w:rPr>
        <w:t> </w:t>
      </w:r>
      <w:r>
        <w:rPr>
          <w:color w:val="6E6158"/>
        </w:rPr>
        <w:t>Law</w:t>
      </w:r>
      <w:r>
        <w:rPr>
          <w:color w:val="6E6158"/>
          <w:spacing w:val="27"/>
        </w:rPr>
        <w:t> </w:t>
      </w:r>
      <w:r>
        <w:rPr>
          <w:color w:val="6E6158"/>
        </w:rPr>
        <w:t>Group,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Denver-based law firm focused on serving the construction industry. January also worked previously as a</w:t>
      </w:r>
      <w:r>
        <w:rPr>
          <w:color w:val="6E6158"/>
          <w:spacing w:val="40"/>
        </w:rPr>
        <w:t> </w:t>
      </w:r>
      <w:r>
        <w:rPr>
          <w:color w:val="6E6158"/>
        </w:rPr>
        <w:t>patent</w:t>
      </w:r>
      <w:r>
        <w:rPr>
          <w:color w:val="6E6158"/>
          <w:spacing w:val="36"/>
        </w:rPr>
        <w:t> </w:t>
      </w:r>
      <w:r>
        <w:rPr>
          <w:color w:val="6E6158"/>
        </w:rPr>
        <w:t>attorney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intellectual</w:t>
      </w:r>
      <w:r>
        <w:rPr>
          <w:color w:val="6E6158"/>
          <w:spacing w:val="36"/>
        </w:rPr>
        <w:t> </w:t>
      </w:r>
      <w:r>
        <w:rPr>
          <w:color w:val="6E6158"/>
        </w:rPr>
        <w:t>property</w:t>
      </w:r>
      <w:r>
        <w:rPr>
          <w:color w:val="6E6158"/>
          <w:spacing w:val="36"/>
        </w:rPr>
        <w:t> </w:t>
      </w:r>
      <w:r>
        <w:rPr>
          <w:color w:val="6E6158"/>
        </w:rPr>
        <w:t>litigator</w:t>
      </w:r>
      <w:r>
        <w:rPr>
          <w:color w:val="6E6158"/>
          <w:spacing w:val="36"/>
        </w:rPr>
        <w:t> </w:t>
      </w:r>
      <w:r>
        <w:rPr>
          <w:color w:val="6E6158"/>
        </w:rPr>
        <w:t>with</w:t>
      </w:r>
      <w:r>
        <w:rPr>
          <w:color w:val="6E6158"/>
          <w:spacing w:val="36"/>
        </w:rPr>
        <w:t> </w:t>
      </w:r>
      <w:r>
        <w:rPr>
          <w:color w:val="6E6158"/>
        </w:rPr>
        <w:t>two</w:t>
      </w:r>
      <w:r>
        <w:rPr>
          <w:color w:val="6E6158"/>
          <w:spacing w:val="36"/>
        </w:rPr>
        <w:t> </w:t>
      </w:r>
      <w:r>
        <w:rPr>
          <w:color w:val="6E6158"/>
        </w:rPr>
        <w:t>boutique</w:t>
      </w:r>
      <w:r>
        <w:rPr>
          <w:color w:val="6E6158"/>
          <w:spacing w:val="36"/>
        </w:rPr>
        <w:t> </w:t>
      </w:r>
      <w:r>
        <w:rPr>
          <w:color w:val="6E6158"/>
        </w:rPr>
        <w:t>law</w:t>
      </w:r>
      <w:r>
        <w:rPr>
          <w:color w:val="6E6158"/>
          <w:spacing w:val="36"/>
        </w:rPr>
        <w:t> </w:t>
      </w:r>
      <w:r>
        <w:rPr>
          <w:color w:val="6E6158"/>
        </w:rPr>
        <w:t>firms.</w:t>
      </w:r>
    </w:p>
    <w:p>
      <w:pPr>
        <w:pStyle w:val="BodyText"/>
        <w:spacing w:line="292" w:lineRule="auto" w:before="191"/>
        <w:ind w:right="648"/>
      </w:pPr>
      <w:r>
        <w:rPr>
          <w:color w:val="6E6158"/>
        </w:rPr>
        <w:t>Prior to law school, January worked as a wetlands and conservation biologist.</w:t>
      </w:r>
      <w:r>
        <w:rPr>
          <w:color w:val="6E6158"/>
          <w:spacing w:val="79"/>
        </w:rPr>
        <w:t> </w:t>
      </w:r>
      <w:r>
        <w:rPr>
          <w:color w:val="6E6158"/>
        </w:rPr>
        <w:t>In her spare time, she</w:t>
      </w:r>
      <w:r>
        <w:rPr>
          <w:color w:val="6E6158"/>
          <w:spacing w:val="27"/>
        </w:rPr>
        <w:t> </w:t>
      </w:r>
      <w:r>
        <w:rPr>
          <w:color w:val="6E6158"/>
        </w:rPr>
        <w:t>enjoys</w:t>
      </w:r>
      <w:r>
        <w:rPr>
          <w:color w:val="6E6158"/>
          <w:spacing w:val="27"/>
        </w:rPr>
        <w:t> </w:t>
      </w:r>
      <w:r>
        <w:rPr>
          <w:color w:val="6E6158"/>
        </w:rPr>
        <w:t>hiking,</w:t>
      </w:r>
      <w:r>
        <w:rPr>
          <w:color w:val="6E6158"/>
          <w:spacing w:val="27"/>
        </w:rPr>
        <w:t> </w:t>
      </w:r>
      <w:r>
        <w:rPr>
          <w:color w:val="6E6158"/>
        </w:rPr>
        <w:t>biking,</w:t>
      </w:r>
      <w:r>
        <w:rPr>
          <w:color w:val="6E6158"/>
          <w:spacing w:val="27"/>
        </w:rPr>
        <w:t> </w:t>
      </w:r>
      <w:r>
        <w:rPr>
          <w:color w:val="6E6158"/>
        </w:rPr>
        <w:t>skiing,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scuba</w:t>
      </w:r>
      <w:r>
        <w:rPr>
          <w:color w:val="6E6158"/>
          <w:spacing w:val="27"/>
        </w:rPr>
        <w:t> </w:t>
      </w:r>
      <w:r>
        <w:rPr>
          <w:color w:val="6E6158"/>
        </w:rPr>
        <w:t>diving</w:t>
      </w:r>
      <w:r>
        <w:rPr>
          <w:color w:val="6E6158"/>
          <w:spacing w:val="27"/>
        </w:rPr>
        <w:t> </w:t>
      </w:r>
      <w:r>
        <w:rPr>
          <w:color w:val="6E6158"/>
        </w:rPr>
        <w:t>with</w:t>
      </w:r>
      <w:r>
        <w:rPr>
          <w:color w:val="6E6158"/>
          <w:spacing w:val="27"/>
        </w:rPr>
        <w:t> </w:t>
      </w:r>
      <w:r>
        <w:rPr>
          <w:color w:val="6E6158"/>
        </w:rPr>
        <w:t>her</w:t>
      </w:r>
      <w:r>
        <w:rPr>
          <w:color w:val="6E6158"/>
          <w:spacing w:val="27"/>
        </w:rPr>
        <w:t> </w:t>
      </w:r>
      <w:r>
        <w:rPr>
          <w:color w:val="6E6158"/>
        </w:rPr>
        <w:t>husband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two</w:t>
      </w:r>
      <w:r>
        <w:rPr>
          <w:color w:val="6E6158"/>
          <w:spacing w:val="27"/>
        </w:rPr>
        <w:t> </w:t>
      </w:r>
      <w:r>
        <w:rPr>
          <w:color w:val="6E6158"/>
        </w:rPr>
        <w:t>sons.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BodyText"/>
        <w:spacing w:line="393" w:lineRule="auto" w:before="1"/>
        <w:ind w:left="343" w:right="2685" w:hanging="245"/>
      </w:pPr>
      <w:r>
        <w:rPr>
          <w:color w:val="6E6158"/>
        </w:rPr>
        <w:t>J.D., University of Hawaii, William S. Richardson School of Law, 2005 Recipient of a scholarship for academic achievement</w:t>
      </w:r>
    </w:p>
    <w:p>
      <w:pPr>
        <w:pStyle w:val="BodyText"/>
        <w:spacing w:before="25"/>
        <w:ind w:left="343"/>
      </w:pPr>
      <w:r>
        <w:rPr>
          <w:color w:val="6E6158"/>
        </w:rPr>
        <w:t>Native</w:t>
      </w:r>
      <w:r>
        <w:rPr>
          <w:color w:val="6E6158"/>
          <w:spacing w:val="12"/>
        </w:rPr>
        <w:t> </w:t>
      </w:r>
      <w:r>
        <w:rPr>
          <w:color w:val="6E6158"/>
        </w:rPr>
        <w:t>American</w:t>
      </w:r>
      <w:r>
        <w:rPr>
          <w:color w:val="6E6158"/>
          <w:spacing w:val="12"/>
        </w:rPr>
        <w:t> </w:t>
      </w:r>
      <w:r>
        <w:rPr>
          <w:color w:val="6E6158"/>
        </w:rPr>
        <w:t>Moot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2nd</w:t>
      </w:r>
      <w:r>
        <w:rPr>
          <w:color w:val="6E6158"/>
          <w:spacing w:val="12"/>
        </w:rPr>
        <w:t> </w:t>
      </w:r>
      <w:r>
        <w:rPr>
          <w:color w:val="6E6158"/>
        </w:rPr>
        <w:t>Place</w:t>
      </w:r>
      <w:r>
        <w:rPr>
          <w:color w:val="6E6158"/>
          <w:spacing w:val="12"/>
        </w:rPr>
        <w:t> </w:t>
      </w:r>
      <w:r>
        <w:rPr>
          <w:color w:val="6E6158"/>
        </w:rPr>
        <w:t>Nationally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Best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Brief</w:t>
      </w:r>
    </w:p>
    <w:p>
      <w:pPr>
        <w:pStyle w:val="BodyText"/>
        <w:spacing w:line="415" w:lineRule="auto" w:before="164"/>
        <w:ind w:right="4070"/>
      </w:pPr>
      <w:r>
        <w:rPr>
          <w:color w:val="6E6158"/>
        </w:rPr>
        <w:t>B.S. Biology, College of Charleston, </w:t>
      </w:r>
      <w:r>
        <w:rPr>
          <w:i/>
          <w:color w:val="6E6158"/>
          <w:sz w:val="20"/>
        </w:rPr>
        <w:t>with honors</w:t>
      </w:r>
      <w:r>
        <w:rPr>
          <w:color w:val="6E6158"/>
        </w:rPr>
        <w:t>, </w:t>
      </w:r>
      <w:r>
        <w:rPr>
          <w:color w:val="6E6158"/>
        </w:rPr>
        <w:t>2000</w:t>
      </w:r>
      <w:r>
        <w:rPr>
          <w:color w:val="6E6158"/>
        </w:rPr>
        <w:t> Golden Key Honors Society</w:t>
      </w:r>
    </w:p>
    <w:p>
      <w:pPr>
        <w:pStyle w:val="Heading1"/>
        <w:spacing w:before="288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422" w:lineRule="auto" w:before="83"/>
        <w:ind w:right="7702"/>
      </w:pPr>
      <w:r>
        <w:rPr>
          <w:color w:val="6E6158"/>
        </w:rPr>
        <w:t>Construction Law Intellectual </w:t>
      </w:r>
      <w:r>
        <w:rPr>
          <w:color w:val="6E6158"/>
        </w:rPr>
        <w:t>Property Real Estate</w:t>
      </w:r>
    </w:p>
    <w:p>
      <w:pPr>
        <w:pStyle w:val="BodyText"/>
        <w:spacing w:line="232" w:lineRule="exact"/>
      </w:pPr>
      <w:r>
        <w:rPr>
          <w:color w:val="6E6158"/>
        </w:rPr>
        <w:t>Natural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Resources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292" w:lineRule="auto"/>
        <w:ind w:right="648"/>
      </w:pPr>
      <w:r>
        <w:rPr>
          <w:color w:val="6E6158"/>
        </w:rPr>
        <w:t>Trial victory on behalf of homeowner in case involving real estate non-disclosure, </w:t>
      </w:r>
      <w:r>
        <w:rPr>
          <w:color w:val="6E6158"/>
        </w:rPr>
        <w:t>contractor standard of care, and asbestos contamination issues.</w:t>
      </w:r>
    </w:p>
    <w:p>
      <w:pPr>
        <w:pStyle w:val="BodyText"/>
        <w:spacing w:line="292" w:lineRule="auto" w:before="131"/>
        <w:ind w:right="648"/>
      </w:pPr>
      <w:r>
        <w:rPr>
          <w:color w:val="6E6158"/>
        </w:rPr>
        <w:t>Negotiated series of contracts for acquisition, entitlements, development, and re-sale of 300 </w:t>
      </w:r>
      <w:r>
        <w:rPr>
          <w:color w:val="6E6158"/>
        </w:rPr>
        <w:t>lot</w:t>
      </w:r>
      <w:r>
        <w:rPr>
          <w:color w:val="6E6158"/>
          <w:spacing w:val="40"/>
        </w:rPr>
        <w:t> </w:t>
      </w:r>
      <w:r>
        <w:rPr>
          <w:color w:val="6E6158"/>
        </w:rPr>
        <w:t>multi-family development.</w:t>
      </w:r>
    </w:p>
    <w:p>
      <w:pPr>
        <w:pStyle w:val="BodyText"/>
        <w:spacing w:line="297" w:lineRule="auto" w:before="124"/>
        <w:ind w:right="648"/>
      </w:pPr>
      <w:r>
        <w:rPr>
          <w:color w:val="6E6158"/>
        </w:rPr>
        <w:t>Part of trial team in patent infringement case successfully defending against efforts to </w:t>
      </w:r>
      <w:r>
        <w:rPr>
          <w:color w:val="6E6158"/>
        </w:rPr>
        <w:t>invalidate</w:t>
      </w:r>
      <w:r>
        <w:rPr>
          <w:color w:val="6E6158"/>
          <w:spacing w:val="40"/>
        </w:rPr>
        <w:t> </w:t>
      </w:r>
      <w:r>
        <w:rPr>
          <w:color w:val="6E6158"/>
        </w:rPr>
        <w:t>small business owner’s patent through allegations of inequitable conduct during the patent</w:t>
      </w:r>
      <w:r>
        <w:rPr>
          <w:color w:val="6E6158"/>
          <w:spacing w:val="40"/>
        </w:rPr>
        <w:t> </w:t>
      </w:r>
      <w:r>
        <w:rPr>
          <w:color w:val="6E6158"/>
        </w:rPr>
        <w:t>prosecution process.</w:t>
      </w:r>
    </w:p>
    <w:p>
      <w:pPr>
        <w:pStyle w:val="BodyText"/>
        <w:spacing w:line="292" w:lineRule="auto" w:before="118"/>
        <w:ind w:right="770"/>
      </w:pPr>
      <w:r>
        <w:rPr>
          <w:color w:val="6E6158"/>
        </w:rPr>
        <w:t>Drafted and closed transactions for mergers, acquisitions, and member buyout </w:t>
      </w:r>
      <w:r>
        <w:rPr>
          <w:color w:val="6E6158"/>
        </w:rPr>
        <w:t>for conglomerate of construction and real estate holding companies.</w:t>
      </w:r>
    </w:p>
    <w:p>
      <w:pPr>
        <w:pStyle w:val="BodyText"/>
        <w:spacing w:line="292" w:lineRule="auto" w:before="131"/>
        <w:ind w:right="648"/>
      </w:pPr>
      <w:r>
        <w:rPr>
          <w:color w:val="6E6158"/>
        </w:rPr>
        <w:t>Economically beneficial settlement reached for brewery client after two years of </w:t>
      </w:r>
      <w:r>
        <w:rPr>
          <w:color w:val="6E6158"/>
        </w:rPr>
        <w:t>contentious</w:t>
      </w:r>
      <w:r>
        <w:rPr>
          <w:color w:val="6E6158"/>
          <w:spacing w:val="40"/>
        </w:rPr>
        <w:t> </w:t>
      </w:r>
      <w:r>
        <w:rPr>
          <w:color w:val="6E6158"/>
        </w:rPr>
        <w:t>litigation in trademark infringement suit.</w:t>
      </w:r>
    </w:p>
    <w:p>
      <w:pPr>
        <w:pStyle w:val="BodyText"/>
        <w:spacing w:line="292" w:lineRule="auto" w:before="123"/>
        <w:ind w:right="648"/>
      </w:pPr>
      <w:r>
        <w:rPr>
          <w:color w:val="6E6158"/>
        </w:rPr>
        <w:t>Represented environmental professional in litigation involving brownfields development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CERCLA liability.</w:t>
      </w:r>
    </w:p>
    <w:p>
      <w:pPr>
        <w:pStyle w:val="BodyText"/>
        <w:spacing w:line="292" w:lineRule="auto" w:before="132"/>
        <w:ind w:right="648"/>
      </w:pPr>
      <w:r>
        <w:rPr>
          <w:color w:val="6E6158"/>
        </w:rPr>
        <w:t>Favorable outcome at trial for C-suite employee of technology company in litigation </w:t>
      </w:r>
      <w:r>
        <w:rPr>
          <w:color w:val="6E6158"/>
        </w:rPr>
        <w:t>involving</w:t>
      </w:r>
      <w:r>
        <w:rPr>
          <w:color w:val="6E6158"/>
          <w:spacing w:val="40"/>
        </w:rPr>
        <w:t> </w:t>
      </w:r>
      <w:r>
        <w:rPr>
          <w:color w:val="6E6158"/>
        </w:rPr>
        <w:t>eight figure damages on allegations of misappropriation of trade secrets and violation of</w:t>
      </w:r>
      <w:r>
        <w:rPr>
          <w:color w:val="6E6158"/>
          <w:spacing w:val="40"/>
        </w:rPr>
        <w:t> </w:t>
      </w:r>
      <w:r>
        <w:rPr>
          <w:color w:val="6E6158"/>
        </w:rPr>
        <w:t>restrictive covenants.</w:t>
      </w:r>
    </w:p>
    <w:p>
      <w:pPr>
        <w:pStyle w:val="BodyText"/>
        <w:spacing w:before="124"/>
      </w:pPr>
      <w:r>
        <w:rPr>
          <w:color w:val="6E6158"/>
        </w:rPr>
        <w:t>Represented</w:t>
      </w:r>
      <w:r>
        <w:rPr>
          <w:color w:val="6E6158"/>
          <w:spacing w:val="14"/>
        </w:rPr>
        <w:t> </w:t>
      </w:r>
      <w:r>
        <w:rPr>
          <w:color w:val="6E6158"/>
        </w:rPr>
        <w:t>EPA</w:t>
      </w:r>
      <w:r>
        <w:rPr>
          <w:color w:val="6E6158"/>
          <w:spacing w:val="14"/>
        </w:rPr>
        <w:t> </w:t>
      </w:r>
      <w:r>
        <w:rPr>
          <w:color w:val="6E6158"/>
        </w:rPr>
        <w:t>subcontractor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mining</w:t>
      </w:r>
      <w:r>
        <w:rPr>
          <w:color w:val="6E6158"/>
          <w:spacing w:val="14"/>
        </w:rPr>
        <w:t> </w:t>
      </w:r>
      <w:r>
        <w:rPr>
          <w:color w:val="6E6158"/>
        </w:rPr>
        <w:t>reclamation</w:t>
      </w:r>
      <w:r>
        <w:rPr>
          <w:color w:val="6E6158"/>
          <w:spacing w:val="14"/>
        </w:rPr>
        <w:t> </w:t>
      </w:r>
      <w:r>
        <w:rPr>
          <w:color w:val="6E6158"/>
        </w:rPr>
        <w:t>case</w:t>
      </w:r>
      <w:r>
        <w:rPr>
          <w:color w:val="6E6158"/>
          <w:spacing w:val="14"/>
        </w:rPr>
        <w:t> </w:t>
      </w:r>
      <w:r>
        <w:rPr>
          <w:color w:val="6E6158"/>
        </w:rPr>
        <w:t>involving</w:t>
      </w:r>
      <w:r>
        <w:rPr>
          <w:color w:val="6E6158"/>
          <w:spacing w:val="14"/>
        </w:rPr>
        <w:t> </w:t>
      </w:r>
      <w:r>
        <w:rPr>
          <w:color w:val="6E6158"/>
        </w:rPr>
        <w:t>CERCLA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liability.</w:t>
      </w:r>
    </w:p>
    <w:p>
      <w:pPr>
        <w:pStyle w:val="BodyText"/>
        <w:spacing w:line="292" w:lineRule="auto" w:before="182"/>
        <w:ind w:right="648"/>
      </w:pPr>
      <w:r>
        <w:rPr>
          <w:color w:val="6E6158"/>
        </w:rPr>
        <w:t>Successfully moved for dismissal of all claims in a 42 U.S.C. § 1983 case brought against a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municipality.</w:t>
      </w:r>
    </w:p>
    <w:p>
      <w:pPr>
        <w:pStyle w:val="BodyText"/>
        <w:spacing w:line="292" w:lineRule="auto" w:before="123"/>
        <w:ind w:right="770"/>
      </w:pPr>
      <w:r>
        <w:rPr>
          <w:color w:val="6E6158"/>
        </w:rPr>
        <w:t>Obtained summary judgment on behalf of a dock-leveling equipment manufacturer in </w:t>
      </w:r>
      <w:r>
        <w:rPr>
          <w:color w:val="6E6158"/>
        </w:rPr>
        <w:t>a products</w:t>
      </w:r>
      <w:r>
        <w:rPr>
          <w:color w:val="6E6158"/>
          <w:spacing w:val="30"/>
        </w:rPr>
        <w:t> </w:t>
      </w:r>
      <w:r>
        <w:rPr>
          <w:color w:val="6E6158"/>
        </w:rPr>
        <w:t>liability</w:t>
      </w:r>
      <w:r>
        <w:rPr>
          <w:color w:val="6E6158"/>
          <w:spacing w:val="30"/>
        </w:rPr>
        <w:t> </w:t>
      </w:r>
      <w:r>
        <w:rPr>
          <w:color w:val="6E6158"/>
        </w:rPr>
        <w:t>case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which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Plaintiff</w:t>
      </w:r>
      <w:r>
        <w:rPr>
          <w:color w:val="6E6158"/>
          <w:spacing w:val="30"/>
        </w:rPr>
        <w:t> </w:t>
      </w:r>
      <w:r>
        <w:rPr>
          <w:color w:val="6E6158"/>
        </w:rPr>
        <w:t>was</w:t>
      </w:r>
      <w:r>
        <w:rPr>
          <w:color w:val="6E6158"/>
          <w:spacing w:val="30"/>
        </w:rPr>
        <w:t> </w:t>
      </w:r>
      <w:r>
        <w:rPr>
          <w:color w:val="6E6158"/>
        </w:rPr>
        <w:t>seeking</w:t>
      </w:r>
      <w:r>
        <w:rPr>
          <w:color w:val="6E6158"/>
          <w:spacing w:val="30"/>
        </w:rPr>
        <w:t> </w:t>
      </w:r>
      <w:r>
        <w:rPr>
          <w:color w:val="6E6158"/>
        </w:rPr>
        <w:t>seven</w:t>
      </w:r>
      <w:r>
        <w:rPr>
          <w:color w:val="6E6158"/>
          <w:spacing w:val="30"/>
        </w:rPr>
        <w:t> </w:t>
      </w:r>
      <w:r>
        <w:rPr>
          <w:color w:val="6E6158"/>
        </w:rPr>
        <w:t>figures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damages.</w:t>
      </w:r>
    </w:p>
    <w:p>
      <w:pPr>
        <w:pStyle w:val="BodyText"/>
        <w:spacing w:line="292" w:lineRule="auto" w:before="131"/>
        <w:ind w:right="648"/>
      </w:pPr>
      <w:r>
        <w:rPr>
          <w:color w:val="6E6158"/>
        </w:rPr>
        <w:t>Obtained summary judgment on behalf of special district on 42 U.S.C. § 1983 and </w:t>
      </w:r>
      <w:r>
        <w:rPr>
          <w:color w:val="6E6158"/>
        </w:rPr>
        <w:t>Rehabilitation</w:t>
      </w:r>
      <w:r>
        <w:rPr>
          <w:color w:val="6E6158"/>
          <w:spacing w:val="40"/>
        </w:rPr>
        <w:t> </w:t>
      </w:r>
      <w:r>
        <w:rPr>
          <w:color w:val="6E6158"/>
        </w:rPr>
        <w:t>Act claims brought against it by former employee.</w:t>
      </w:r>
    </w:p>
    <w:p>
      <w:pPr>
        <w:pStyle w:val="BodyText"/>
        <w:spacing w:line="302" w:lineRule="auto" w:before="124"/>
        <w:ind w:right="524"/>
      </w:pPr>
      <w:r>
        <w:rPr>
          <w:color w:val="6E6158"/>
        </w:rPr>
        <w:t>Represented produce distributor in food-borne illness and product liability multi-district </w:t>
      </w:r>
      <w:r>
        <w:rPr>
          <w:color w:val="6E6158"/>
        </w:rPr>
        <w:t>litigation,</w:t>
      </w:r>
      <w:r>
        <w:rPr>
          <w:color w:val="6E6158"/>
          <w:spacing w:val="40"/>
        </w:rPr>
        <w:t> </w:t>
      </w:r>
      <w:r>
        <w:rPr>
          <w:color w:val="6E6158"/>
        </w:rPr>
        <w:t>with 36 lawsuits filed in Colorado.</w:t>
      </w:r>
    </w:p>
    <w:p>
      <w:pPr>
        <w:pStyle w:val="BodyText"/>
        <w:spacing w:line="292" w:lineRule="auto" w:before="105"/>
        <w:ind w:right="648"/>
      </w:pPr>
      <w:r>
        <w:rPr>
          <w:color w:val="6E6158"/>
        </w:rPr>
        <w:t>Successful briefing to the 10</w:t>
      </w:r>
      <w:r>
        <w:rPr>
          <w:color w:val="6E6158"/>
          <w:position w:val="7"/>
          <w:sz w:val="16"/>
        </w:rPr>
        <w:t>th</w:t>
      </w:r>
      <w:r>
        <w:rPr>
          <w:color w:val="6E6158"/>
          <w:spacing w:val="22"/>
          <w:position w:val="7"/>
          <w:sz w:val="16"/>
        </w:rPr>
        <w:t> </w:t>
      </w:r>
      <w:r>
        <w:rPr>
          <w:color w:val="6E6158"/>
        </w:rPr>
        <w:t>Circuit Court of Appeals on the idea-expression dichotomy on behalf of artist in a copyright infringement case.</w:t>
      </w:r>
    </w:p>
    <w:p>
      <w:pPr>
        <w:pStyle w:val="BodyText"/>
        <w:spacing w:line="302" w:lineRule="auto" w:before="123"/>
        <w:ind w:right="648"/>
      </w:pPr>
      <w:r>
        <w:rPr>
          <w:color w:val="6E6158"/>
        </w:rPr>
        <w:t>Represented homeowners through litigation and appellate process in key Colorado case </w:t>
      </w:r>
      <w:r>
        <w:rPr>
          <w:color w:val="6E6158"/>
        </w:rPr>
        <w:t>on</w:t>
      </w:r>
      <w:r>
        <w:rPr>
          <w:color w:val="6E6158"/>
          <w:spacing w:val="40"/>
        </w:rPr>
        <w:t> </w:t>
      </w:r>
      <w:r>
        <w:rPr>
          <w:color w:val="6E6158"/>
        </w:rPr>
        <w:t>tolling of the statute of limitations in construction defect disputes.</w:t>
      </w:r>
    </w:p>
    <w:p>
      <w:pPr>
        <w:pStyle w:val="BodyText"/>
        <w:spacing w:line="292" w:lineRule="auto" w:before="113"/>
        <w:ind w:right="770"/>
      </w:pPr>
      <w:r>
        <w:rPr>
          <w:color w:val="6E6158"/>
        </w:rPr>
        <w:t>Prosecuted patent applications on behalf of a variety of clients including a flow </w:t>
      </w:r>
      <w:r>
        <w:rPr>
          <w:color w:val="6E6158"/>
        </w:rPr>
        <w:t>meter company, construction materials manufacturer, agricultural irrigation company,</w:t>
      </w:r>
    </w:p>
    <w:p>
      <w:pPr>
        <w:pStyle w:val="BodyText"/>
        <w:spacing w:before="1"/>
      </w:pPr>
      <w:r>
        <w:rPr>
          <w:color w:val="6E6158"/>
        </w:rPr>
        <w:t>ophthalmologist,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  <w:spacing w:val="-2"/>
        </w:rPr>
        <w:t>endodontist.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Colorado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</w:rPr>
        <w:t>Foundation</w:t>
      </w:r>
      <w:r>
        <w:rPr>
          <w:color w:val="6E6158"/>
          <w:spacing w:val="12"/>
        </w:rPr>
        <w:t> </w:t>
      </w:r>
      <w:r>
        <w:rPr>
          <w:color w:val="6E6158"/>
        </w:rPr>
        <w:t>–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Fellow</w:t>
      </w:r>
    </w:p>
    <w:p>
      <w:pPr>
        <w:pStyle w:val="BodyText"/>
        <w:spacing w:after="0"/>
        <w:sectPr>
          <w:pgSz w:w="12240" w:h="15840"/>
          <w:pgMar w:top="500" w:bottom="280" w:left="1440" w:right="1080"/>
        </w:sectPr>
      </w:pPr>
    </w:p>
    <w:p>
      <w:pPr>
        <w:pStyle w:val="BodyText"/>
        <w:spacing w:before="83"/>
      </w:pPr>
      <w:r>
        <w:rPr>
          <w:color w:val="6E6158"/>
        </w:rPr>
        <w:t>Martindale</w:t>
      </w:r>
      <w:r>
        <w:rPr>
          <w:color w:val="6E6158"/>
          <w:spacing w:val="10"/>
        </w:rPr>
        <w:t> </w:t>
      </w:r>
      <w:r>
        <w:rPr>
          <w:color w:val="6E6158"/>
        </w:rPr>
        <w:t>Hubbell</w:t>
      </w:r>
      <w:r>
        <w:rPr>
          <w:color w:val="6E6158"/>
          <w:spacing w:val="11"/>
        </w:rPr>
        <w:t> </w:t>
      </w:r>
      <w:r>
        <w:rPr>
          <w:color w:val="6E6158"/>
        </w:rPr>
        <w:t>AV</w:t>
      </w:r>
      <w:r>
        <w:rPr>
          <w:color w:val="6E6158"/>
          <w:spacing w:val="11"/>
        </w:rPr>
        <w:t> </w:t>
      </w:r>
      <w:r>
        <w:rPr>
          <w:color w:val="6E6158"/>
        </w:rPr>
        <w:t>Pre-eminent</w:t>
      </w:r>
      <w:r>
        <w:rPr>
          <w:color w:val="6E6158"/>
          <w:spacing w:val="11"/>
        </w:rPr>
        <w:t> </w:t>
      </w:r>
      <w:r>
        <w:rPr>
          <w:color w:val="6E6158"/>
        </w:rPr>
        <w:t>Peer</w:t>
      </w:r>
      <w:r>
        <w:rPr>
          <w:color w:val="6E6158"/>
          <w:spacing w:val="10"/>
        </w:rPr>
        <w:t> </w:t>
      </w:r>
      <w:r>
        <w:rPr>
          <w:color w:val="6E6158"/>
        </w:rPr>
        <w:t>Review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Rating</w:t>
      </w:r>
    </w:p>
    <w:p>
      <w:pPr>
        <w:pStyle w:val="BodyText"/>
        <w:spacing w:before="174"/>
      </w:pPr>
      <w:r>
        <w:rPr>
          <w:color w:val="6E6158"/>
        </w:rPr>
        <w:t>Colorado</w:t>
      </w:r>
      <w:r>
        <w:rPr>
          <w:color w:val="6E6158"/>
          <w:spacing w:val="19"/>
        </w:rPr>
        <w:t> </w:t>
      </w:r>
      <w:r>
        <w:rPr>
          <w:color w:val="6E6158"/>
        </w:rPr>
        <w:t>Super</w:t>
      </w:r>
      <w:r>
        <w:rPr>
          <w:color w:val="6E6158"/>
          <w:spacing w:val="20"/>
        </w:rPr>
        <w:t> </w:t>
      </w:r>
      <w:r>
        <w:rPr>
          <w:color w:val="6E6158"/>
        </w:rPr>
        <w:t>Lawyers,</w:t>
      </w:r>
      <w:r>
        <w:rPr>
          <w:color w:val="6E6158"/>
          <w:spacing w:val="20"/>
        </w:rPr>
        <w:t> </w:t>
      </w:r>
      <w:r>
        <w:rPr>
          <w:color w:val="6E6158"/>
        </w:rPr>
        <w:t>Construction</w:t>
      </w:r>
      <w:r>
        <w:rPr>
          <w:color w:val="6E6158"/>
          <w:spacing w:val="20"/>
        </w:rPr>
        <w:t> </w:t>
      </w:r>
      <w:r>
        <w:rPr>
          <w:color w:val="6E6158"/>
        </w:rPr>
        <w:t>Litigation,</w:t>
      </w:r>
      <w:r>
        <w:rPr>
          <w:color w:val="6E6158"/>
          <w:spacing w:val="20"/>
        </w:rPr>
        <w:t> </w:t>
      </w:r>
      <w:r>
        <w:rPr>
          <w:color w:val="6E6158"/>
        </w:rPr>
        <w:t>2020-</w:t>
      </w:r>
      <w:r>
        <w:rPr>
          <w:color w:val="6E6158"/>
          <w:spacing w:val="-4"/>
        </w:rPr>
        <w:t>2026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292" w:lineRule="auto"/>
        <w:ind w:right="648"/>
      </w:pPr>
      <w:r>
        <w:rPr>
          <w:color w:val="6E6158"/>
        </w:rPr>
        <w:t>Featured, “</w:t>
      </w:r>
      <w:hyperlink r:id="rId11">
        <w:r>
          <w:rPr>
            <w:color w:val="F5821F"/>
          </w:rPr>
          <w:t>Building Bigger, Building Smarter: January Allen on Galvanize Joining Fennemore, </w:t>
        </w:r>
        <w:r>
          <w:rPr>
            <w:color w:val="F5821F"/>
          </w:rPr>
          <w:t>and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Legal Trends in Construction Across Colorado</w:t>
        </w:r>
      </w:hyperlink>
      <w:r>
        <w:rPr>
          <w:color w:val="6E6158"/>
        </w:rPr>
        <w:t>,” Fennemore Blog, October 8, 2025</w:t>
      </w:r>
    </w:p>
    <w:p>
      <w:pPr>
        <w:pStyle w:val="BodyText"/>
        <w:spacing w:line="292" w:lineRule="auto" w:before="123"/>
        <w:ind w:right="648"/>
      </w:pPr>
      <w:r>
        <w:rPr>
          <w:color w:val="6E6158"/>
        </w:rPr>
        <w:t>Co-Author, “</w:t>
      </w:r>
      <w:hyperlink r:id="rId12">
        <w:r>
          <w:rPr>
            <w:color w:val="F5821F"/>
          </w:rPr>
          <w:t>Yes Solutions Construction laws impact the industry differently. Who is watching your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back?</w:t>
        </w:r>
      </w:hyperlink>
      <w:r>
        <w:rPr>
          <w:color w:val="6E6158"/>
        </w:rPr>
        <w:t>,” Colorado Public Works Journal, October 1, 2025</w:t>
      </w:r>
    </w:p>
    <w:p>
      <w:pPr>
        <w:pStyle w:val="BodyText"/>
        <w:spacing w:line="292" w:lineRule="auto" w:before="132"/>
        <w:ind w:right="648"/>
      </w:pPr>
      <w:r>
        <w:rPr>
          <w:color w:val="6E6158"/>
        </w:rPr>
        <w:t>Co-Presenter, “Emerging Legal Issues Affecting Your Contracts, Insurance, and </w:t>
      </w:r>
      <w:r>
        <w:rPr>
          <w:color w:val="6E6158"/>
        </w:rPr>
        <w:t>Employees,” American</w:t>
      </w:r>
      <w:r>
        <w:rPr>
          <w:color w:val="6E6158"/>
          <w:spacing w:val="15"/>
        </w:rPr>
        <w:t> </w:t>
      </w:r>
      <w:r>
        <w:rPr>
          <w:color w:val="6E6158"/>
        </w:rPr>
        <w:t>Council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Engineering</w:t>
      </w:r>
      <w:r>
        <w:rPr>
          <w:color w:val="6E6158"/>
          <w:spacing w:val="15"/>
        </w:rPr>
        <w:t> </w:t>
      </w:r>
      <w:r>
        <w:rPr>
          <w:color w:val="6E6158"/>
        </w:rPr>
        <w:t>Companies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Colorado’s</w:t>
      </w:r>
      <w:r>
        <w:rPr>
          <w:color w:val="6E6158"/>
          <w:spacing w:val="15"/>
        </w:rPr>
        <w:t> </w:t>
      </w:r>
      <w:r>
        <w:rPr>
          <w:color w:val="6E6158"/>
        </w:rPr>
        <w:t>Annual</w:t>
      </w:r>
      <w:r>
        <w:rPr>
          <w:color w:val="6E6158"/>
          <w:spacing w:val="16"/>
        </w:rPr>
        <w:t> </w:t>
      </w:r>
      <w:r>
        <w:rPr>
          <w:color w:val="6E6158"/>
        </w:rPr>
        <w:t>Conference,</w:t>
      </w:r>
      <w:r>
        <w:rPr>
          <w:color w:val="6E6158"/>
          <w:spacing w:val="16"/>
        </w:rPr>
        <w:t> </w:t>
      </w:r>
      <w:r>
        <w:rPr>
          <w:color w:val="6E6158"/>
        </w:rPr>
        <w:t>April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23"/>
        <w:ind w:right="648"/>
      </w:pPr>
      <w:r>
        <w:rPr>
          <w:color w:val="6E6158"/>
        </w:rPr>
        <w:t>Presenter, “Die Hard for the Holidays: Jobsite Safety and Insurance Coverage,” </w:t>
      </w:r>
      <w:r>
        <w:rPr>
          <w:color w:val="6E6158"/>
        </w:rPr>
        <w:t>Tradecraft Industries, November 2024</w:t>
      </w:r>
    </w:p>
    <w:p>
      <w:pPr>
        <w:pStyle w:val="BodyText"/>
        <w:spacing w:line="292" w:lineRule="auto" w:before="131"/>
        <w:ind w:right="648"/>
      </w:pPr>
      <w:r>
        <w:rPr>
          <w:color w:val="6E6158"/>
        </w:rPr>
        <w:t>Presenter, “Fundamentals of Construction Contracts: Concepts, Clauses, and </w:t>
      </w:r>
      <w:r>
        <w:rPr>
          <w:color w:val="6E6158"/>
        </w:rPr>
        <w:t>Compliance,” Rocky Mountain Masonry Institute, September 2023</w:t>
      </w:r>
    </w:p>
    <w:p>
      <w:pPr>
        <w:pStyle w:val="BodyText"/>
        <w:spacing w:line="302" w:lineRule="auto" w:before="124"/>
        <w:ind w:right="648"/>
      </w:pPr>
      <w:r>
        <w:rPr>
          <w:color w:val="6E6158"/>
        </w:rPr>
        <w:t>Presenter, “Construction Employers Lunch and Learn: Employees and Vehicle </w:t>
      </w:r>
      <w:r>
        <w:rPr>
          <w:color w:val="6E6158"/>
        </w:rPr>
        <w:t>Accidents,” Tradecraft Industries, August 2023</w:t>
      </w:r>
    </w:p>
    <w:p>
      <w:pPr>
        <w:pStyle w:val="BodyText"/>
        <w:spacing w:line="292" w:lineRule="auto" w:before="112"/>
        <w:ind w:right="648"/>
      </w:pPr>
      <w:r>
        <w:rPr>
          <w:color w:val="6E6158"/>
        </w:rPr>
        <w:t>Presenter, “Employment Law Considerations for 2023: Overview of Colorado Legal Changes </w:t>
      </w:r>
      <w:r>
        <w:rPr>
          <w:color w:val="6E6158"/>
        </w:rPr>
        <w:t>&amp; Remote Employees,” American Council of Engineering Companies of Colorado’s Annual</w:t>
      </w:r>
      <w:r>
        <w:rPr>
          <w:color w:val="6E6158"/>
          <w:spacing w:val="40"/>
        </w:rPr>
        <w:t> </w:t>
      </w:r>
      <w:r>
        <w:rPr>
          <w:color w:val="6E6158"/>
        </w:rPr>
        <w:t>Conference, May 2023</w:t>
      </w:r>
    </w:p>
    <w:p>
      <w:pPr>
        <w:pStyle w:val="BodyText"/>
        <w:spacing w:before="132"/>
      </w:pPr>
      <w:r>
        <w:rPr>
          <w:color w:val="6E6158"/>
        </w:rPr>
        <w:t>Presenter,</w:t>
      </w:r>
      <w:r>
        <w:rPr>
          <w:color w:val="6E6158"/>
          <w:spacing w:val="10"/>
        </w:rPr>
        <w:t> </w:t>
      </w:r>
      <w:r>
        <w:rPr>
          <w:color w:val="6E6158"/>
        </w:rPr>
        <w:t>“Contract</w:t>
      </w:r>
      <w:r>
        <w:rPr>
          <w:color w:val="6E6158"/>
          <w:spacing w:val="13"/>
        </w:rPr>
        <w:t> </w:t>
      </w:r>
      <w:r>
        <w:rPr>
          <w:color w:val="6E6158"/>
        </w:rPr>
        <w:t>Basics,</w:t>
      </w:r>
      <w:r>
        <w:rPr>
          <w:color w:val="6E6158"/>
          <w:spacing w:val="13"/>
        </w:rPr>
        <w:t> </w:t>
      </w:r>
      <w:r>
        <w:rPr>
          <w:color w:val="6E6158"/>
        </w:rPr>
        <w:t>ACEC</w:t>
      </w:r>
      <w:r>
        <w:rPr>
          <w:color w:val="6E6158"/>
          <w:spacing w:val="12"/>
        </w:rPr>
        <w:t> </w:t>
      </w:r>
      <w:r>
        <w:rPr>
          <w:color w:val="6E6158"/>
        </w:rPr>
        <w:t>Member</w:t>
      </w:r>
      <w:r>
        <w:rPr>
          <w:color w:val="6E6158"/>
          <w:spacing w:val="13"/>
        </w:rPr>
        <w:t> </w:t>
      </w:r>
      <w:r>
        <w:rPr>
          <w:color w:val="6E6158"/>
        </w:rPr>
        <w:t>Lunch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Learn,”</w:t>
      </w:r>
      <w:r>
        <w:rPr>
          <w:color w:val="6E6158"/>
          <w:spacing w:val="13"/>
        </w:rPr>
        <w:t> </w:t>
      </w:r>
      <w:r>
        <w:rPr>
          <w:color w:val="6E6158"/>
        </w:rPr>
        <w:t>October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74"/>
        <w:ind w:right="536"/>
      </w:pPr>
      <w:r>
        <w:rPr>
          <w:color w:val="6E6158"/>
        </w:rPr>
        <w:t>Presenter, “Acquiring and Selling Businesses Part 1,” Tradecraft Industries Lunch and Learn, May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302" w:lineRule="auto" w:before="124"/>
        <w:ind w:right="648"/>
      </w:pPr>
      <w:r>
        <w:rPr>
          <w:color w:val="6E6158"/>
        </w:rPr>
        <w:t>Presenter, “Federal, State &amp; Local Vaccine Mandates: What Do They Mean for Your Firm?, “American</w:t>
      </w:r>
      <w:r>
        <w:rPr>
          <w:color w:val="6E6158"/>
          <w:spacing w:val="15"/>
        </w:rPr>
        <w:t> </w:t>
      </w:r>
      <w:r>
        <w:rPr>
          <w:color w:val="6E6158"/>
        </w:rPr>
        <w:t>Council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Engineering</w:t>
      </w:r>
      <w:r>
        <w:rPr>
          <w:color w:val="6E6158"/>
          <w:spacing w:val="15"/>
        </w:rPr>
        <w:t> </w:t>
      </w:r>
      <w:r>
        <w:rPr>
          <w:color w:val="6E6158"/>
        </w:rPr>
        <w:t>Companies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Colorado</w:t>
      </w:r>
      <w:r>
        <w:rPr>
          <w:color w:val="6E6158"/>
          <w:spacing w:val="16"/>
        </w:rPr>
        <w:t> </w:t>
      </w:r>
      <w:r>
        <w:rPr>
          <w:color w:val="6E6158"/>
        </w:rPr>
        <w:t>Fireside</w:t>
      </w:r>
      <w:r>
        <w:rPr>
          <w:color w:val="6E6158"/>
          <w:spacing w:val="15"/>
        </w:rPr>
        <w:t> </w:t>
      </w:r>
      <w:r>
        <w:rPr>
          <w:color w:val="6E6158"/>
        </w:rPr>
        <w:t>Chat,</w:t>
      </w:r>
      <w:r>
        <w:rPr>
          <w:color w:val="6E6158"/>
          <w:spacing w:val="16"/>
        </w:rPr>
        <w:t> </w:t>
      </w:r>
      <w:r>
        <w:rPr>
          <w:color w:val="6E6158"/>
        </w:rPr>
        <w:t>November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292" w:lineRule="auto" w:before="112"/>
        <w:ind w:right="648"/>
      </w:pPr>
      <w:r>
        <w:rPr>
          <w:color w:val="6E6158"/>
        </w:rPr>
        <w:t>Presenter, “When the S#it Hits the Fan: How to Navigate Contract Disputes,” Rocky </w:t>
      </w:r>
      <w:r>
        <w:rPr>
          <w:color w:val="6E6158"/>
        </w:rPr>
        <w:t>Mountain Masonry Institute, July 2021</w:t>
      </w:r>
    </w:p>
    <w:p>
      <w:pPr>
        <w:pStyle w:val="BodyText"/>
        <w:spacing w:line="302" w:lineRule="auto" w:before="124"/>
        <w:ind w:right="648"/>
      </w:pPr>
      <w:r>
        <w:rPr>
          <w:color w:val="6E6158"/>
        </w:rPr>
        <w:t>Presenter, “The Americans with Disabilities Act &amp; the Accessibility Code,” J.S. Held LLC, CLE Webinar, May 2021</w:t>
      </w:r>
    </w:p>
    <w:p>
      <w:pPr>
        <w:pStyle w:val="BodyText"/>
        <w:spacing w:line="292" w:lineRule="auto" w:before="112"/>
        <w:ind w:right="524"/>
      </w:pPr>
      <w:r>
        <w:rPr>
          <w:color w:val="6E6158"/>
        </w:rPr>
        <w:t>Author, “Post-Cyberattack Professional Duties: A Review of ABA Formal Ethics Opinion 483 and a</w:t>
      </w:r>
      <w:r>
        <w:rPr>
          <w:color w:val="6E6158"/>
          <w:spacing w:val="40"/>
        </w:rPr>
        <w:t> </w:t>
      </w:r>
      <w:r>
        <w:rPr>
          <w:color w:val="6E6158"/>
        </w:rPr>
        <w:t>Recent</w:t>
      </w:r>
      <w:r>
        <w:rPr>
          <w:color w:val="6E6158"/>
          <w:spacing w:val="40"/>
        </w:rPr>
        <w:t> </w:t>
      </w:r>
      <w:r>
        <w:rPr>
          <w:color w:val="6E6158"/>
        </w:rPr>
        <w:t>Colorado</w:t>
      </w:r>
      <w:r>
        <w:rPr>
          <w:color w:val="6E6158"/>
          <w:spacing w:val="40"/>
        </w:rPr>
        <w:t> </w:t>
      </w:r>
      <w:r>
        <w:rPr>
          <w:color w:val="6E6158"/>
        </w:rPr>
        <w:t>Malpractice</w:t>
      </w:r>
      <w:r>
        <w:rPr>
          <w:color w:val="6E6158"/>
          <w:spacing w:val="40"/>
        </w:rPr>
        <w:t> </w:t>
      </w:r>
      <w:r>
        <w:rPr>
          <w:color w:val="6E6158"/>
        </w:rPr>
        <w:t>Suit,”</w:t>
      </w:r>
      <w:r>
        <w:rPr>
          <w:color w:val="6E6158"/>
          <w:spacing w:val="40"/>
        </w:rPr>
        <w:t> </w:t>
      </w:r>
      <w:r>
        <w:rPr>
          <w:color w:val="6E6158"/>
        </w:rPr>
        <w:t>Professional</w:t>
      </w:r>
      <w:r>
        <w:rPr>
          <w:color w:val="6E6158"/>
          <w:spacing w:val="40"/>
        </w:rPr>
        <w:t> </w:t>
      </w:r>
      <w:r>
        <w:rPr>
          <w:color w:val="6E6158"/>
        </w:rPr>
        <w:t>Liability</w:t>
      </w:r>
      <w:r>
        <w:rPr>
          <w:color w:val="6E6158"/>
          <w:spacing w:val="40"/>
        </w:rPr>
        <w:t> </w:t>
      </w:r>
      <w:r>
        <w:rPr>
          <w:color w:val="6E6158"/>
        </w:rPr>
        <w:t>Defense</w:t>
      </w:r>
      <w:r>
        <w:rPr>
          <w:color w:val="6E6158"/>
          <w:spacing w:val="40"/>
        </w:rPr>
        <w:t> </w:t>
      </w:r>
      <w:r>
        <w:rPr>
          <w:color w:val="6E6158"/>
        </w:rPr>
        <w:t>Federation</w:t>
      </w:r>
      <w:r>
        <w:rPr>
          <w:color w:val="6E6158"/>
          <w:spacing w:val="40"/>
        </w:rPr>
        <w:t> </w:t>
      </w:r>
      <w:r>
        <w:rPr>
          <w:color w:val="6E6158"/>
        </w:rPr>
        <w:t>Quarterly,</w:t>
      </w:r>
      <w:r>
        <w:rPr>
          <w:color w:val="6E6158"/>
          <w:spacing w:val="40"/>
        </w:rPr>
        <w:t> </w:t>
      </w:r>
      <w:r>
        <w:rPr>
          <w:color w:val="6E6158"/>
        </w:rPr>
        <w:t>Spring</w:t>
      </w:r>
    </w:p>
    <w:p>
      <w:pPr>
        <w:pStyle w:val="BodyText"/>
        <w:spacing w:before="10"/>
      </w:pPr>
      <w:r>
        <w:rPr>
          <w:color w:val="6E6158"/>
          <w:spacing w:val="-4"/>
        </w:rPr>
        <w:t>2019</w:t>
      </w:r>
    </w:p>
    <w:p>
      <w:pPr>
        <w:pStyle w:val="BodyText"/>
        <w:spacing w:line="292" w:lineRule="auto" w:before="174"/>
        <w:ind w:right="770"/>
      </w:pPr>
      <w:r>
        <w:rPr>
          <w:color w:val="6E6158"/>
        </w:rPr>
        <w:t>Presenter, “The Ethics of Insuring Maryjane: An Update on Cannabis Law,” Lloyd’s of London, </w:t>
      </w:r>
      <w:r>
        <w:rPr>
          <w:color w:val="6E6158"/>
          <w:spacing w:val="-4"/>
        </w:rPr>
        <w:t>2019</w:t>
      </w:r>
    </w:p>
    <w:p>
      <w:pPr>
        <w:pStyle w:val="BodyText"/>
        <w:spacing w:before="123"/>
      </w:pPr>
      <w:r>
        <w:rPr>
          <w:color w:val="6E6158"/>
        </w:rPr>
        <w:t>Presenter,</w:t>
      </w:r>
      <w:r>
        <w:rPr>
          <w:color w:val="6E6158"/>
          <w:spacing w:val="15"/>
        </w:rPr>
        <w:t> </w:t>
      </w:r>
      <w:r>
        <w:rPr>
          <w:color w:val="6E6158"/>
        </w:rPr>
        <w:t>“Product</w:t>
      </w:r>
      <w:r>
        <w:rPr>
          <w:color w:val="6E6158"/>
          <w:spacing w:val="16"/>
        </w:rPr>
        <w:t> </w:t>
      </w:r>
      <w:r>
        <w:rPr>
          <w:color w:val="6E6158"/>
        </w:rPr>
        <w:t>Malfunction</w:t>
      </w:r>
      <w:r>
        <w:rPr>
          <w:color w:val="6E6158"/>
          <w:spacing w:val="16"/>
        </w:rPr>
        <w:t> </w:t>
      </w:r>
      <w:r>
        <w:rPr>
          <w:color w:val="6E6158"/>
        </w:rPr>
        <w:t>Theory,”</w:t>
      </w:r>
      <w:r>
        <w:rPr>
          <w:color w:val="6E6158"/>
          <w:spacing w:val="16"/>
        </w:rPr>
        <w:t> </w:t>
      </w:r>
      <w:r>
        <w:rPr>
          <w:color w:val="6E6158"/>
        </w:rPr>
        <w:t>Liberty</w:t>
      </w:r>
      <w:r>
        <w:rPr>
          <w:color w:val="6E6158"/>
          <w:spacing w:val="15"/>
        </w:rPr>
        <w:t> </w:t>
      </w:r>
      <w:r>
        <w:rPr>
          <w:color w:val="6E6158"/>
        </w:rPr>
        <w:t>International,</w:t>
      </w:r>
      <w:r>
        <w:rPr>
          <w:color w:val="6E6158"/>
          <w:spacing w:val="16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line="292" w:lineRule="auto" w:before="182"/>
      </w:pPr>
      <w:r>
        <w:rPr>
          <w:color w:val="6E6158"/>
        </w:rPr>
        <w:t>Presenter, “Lions &amp; Tigers &amp; Technology: LPL Risks Associated with the Use/Misuse of Technology,” Professional Liability Defense Federation, 2019</w:t>
      </w:r>
    </w:p>
    <w:p>
      <w:pPr>
        <w:pStyle w:val="BodyText"/>
        <w:spacing w:line="292" w:lineRule="auto" w:before="123"/>
        <w:ind w:right="648"/>
      </w:pPr>
      <w:r>
        <w:rPr>
          <w:color w:val="6E6158"/>
        </w:rPr>
        <w:t>Presenter, “The Data Behind the Data: Use of Metadata in Litigation,” National Retail </w:t>
      </w:r>
      <w:r>
        <w:rPr>
          <w:color w:val="6E6158"/>
        </w:rPr>
        <w:t>and Restaurant Defense Association, 2019</w:t>
      </w:r>
    </w:p>
    <w:p>
      <w:pPr>
        <w:pStyle w:val="BodyText"/>
        <w:spacing w:before="132"/>
      </w:pPr>
      <w:r>
        <w:rPr>
          <w:color w:val="6E6158"/>
        </w:rPr>
        <w:t>Presenter,</w:t>
      </w:r>
      <w:r>
        <w:rPr>
          <w:color w:val="6E6158"/>
          <w:spacing w:val="14"/>
        </w:rPr>
        <w:t> </w:t>
      </w:r>
      <w:r>
        <w:rPr>
          <w:color w:val="6E6158"/>
        </w:rPr>
        <w:t>“Cyber</w:t>
      </w:r>
      <w:r>
        <w:rPr>
          <w:color w:val="6E6158"/>
          <w:spacing w:val="15"/>
        </w:rPr>
        <w:t> </w:t>
      </w:r>
      <w:r>
        <w:rPr>
          <w:color w:val="6E6158"/>
        </w:rPr>
        <w:t>Competence</w:t>
      </w:r>
      <w:r>
        <w:rPr>
          <w:color w:val="6E6158"/>
          <w:spacing w:val="15"/>
        </w:rPr>
        <w:t> </w:t>
      </w:r>
      <w:r>
        <w:rPr>
          <w:color w:val="6E6158"/>
        </w:rPr>
        <w:t>101,”</w:t>
      </w:r>
      <w:r>
        <w:rPr>
          <w:color w:val="6E6158"/>
          <w:spacing w:val="15"/>
        </w:rPr>
        <w:t> </w:t>
      </w:r>
      <w:r>
        <w:rPr>
          <w:color w:val="6E6158"/>
        </w:rPr>
        <w:t>Nebraska</w:t>
      </w:r>
      <w:r>
        <w:rPr>
          <w:color w:val="6E6158"/>
          <w:spacing w:val="15"/>
        </w:rPr>
        <w:t> </w:t>
      </w:r>
      <w:r>
        <w:rPr>
          <w:color w:val="6E6158"/>
        </w:rPr>
        <w:t>Defense</w:t>
      </w:r>
      <w:r>
        <w:rPr>
          <w:color w:val="6E6158"/>
          <w:spacing w:val="15"/>
        </w:rPr>
        <w:t> </w:t>
      </w:r>
      <w:r>
        <w:rPr>
          <w:color w:val="6E6158"/>
        </w:rPr>
        <w:t>Federation,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line="292" w:lineRule="auto" w:before="174"/>
        <w:ind w:right="648"/>
      </w:pPr>
      <w:r>
        <w:rPr>
          <w:color w:val="6E6158"/>
        </w:rPr>
        <w:t>Author, “Bits and Bytes: Cyber Case Law Review,” Professional Liability Defense </w:t>
      </w:r>
      <w:r>
        <w:rPr>
          <w:color w:val="6E6158"/>
        </w:rPr>
        <w:t>Federation Quarterly, Fall 2018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3"/>
        <w:ind w:right="648"/>
      </w:pPr>
      <w:r>
        <w:rPr>
          <w:color w:val="6E6158"/>
        </w:rPr>
        <w:t>Author, “Cybersecurity Breaches Involving Personal Identifying Information: Survey of </w:t>
      </w:r>
      <w:r>
        <w:rPr>
          <w:color w:val="6E6158"/>
        </w:rPr>
        <w:t>State Notification</w:t>
      </w:r>
      <w:r>
        <w:rPr>
          <w:color w:val="6E6158"/>
          <w:spacing w:val="40"/>
        </w:rPr>
        <w:t> </w:t>
      </w:r>
      <w:r>
        <w:rPr>
          <w:color w:val="6E6158"/>
        </w:rPr>
        <w:t>Laws,”</w:t>
      </w:r>
      <w:r>
        <w:rPr>
          <w:color w:val="6E6158"/>
          <w:spacing w:val="40"/>
        </w:rPr>
        <w:t> </w:t>
      </w:r>
      <w:r>
        <w:rPr>
          <w:color w:val="6E6158"/>
        </w:rPr>
        <w:t>Professional</w:t>
      </w:r>
      <w:r>
        <w:rPr>
          <w:color w:val="6E6158"/>
          <w:spacing w:val="40"/>
        </w:rPr>
        <w:t> </w:t>
      </w:r>
      <w:r>
        <w:rPr>
          <w:color w:val="6E6158"/>
        </w:rPr>
        <w:t>Liability</w:t>
      </w:r>
      <w:r>
        <w:rPr>
          <w:color w:val="6E6158"/>
          <w:spacing w:val="40"/>
        </w:rPr>
        <w:t> </w:t>
      </w:r>
      <w:r>
        <w:rPr>
          <w:color w:val="6E6158"/>
        </w:rPr>
        <w:t>Defense</w:t>
      </w:r>
      <w:r>
        <w:rPr>
          <w:color w:val="6E6158"/>
          <w:spacing w:val="40"/>
        </w:rPr>
        <w:t> </w:t>
      </w:r>
      <w:r>
        <w:rPr>
          <w:color w:val="6E6158"/>
        </w:rPr>
        <w:t>Federation</w:t>
      </w:r>
      <w:r>
        <w:rPr>
          <w:color w:val="6E6158"/>
          <w:spacing w:val="40"/>
        </w:rPr>
        <w:t> </w:t>
      </w:r>
      <w:r>
        <w:rPr>
          <w:color w:val="6E6158"/>
        </w:rPr>
        <w:t>Quarterly,</w:t>
      </w:r>
      <w:r>
        <w:rPr>
          <w:color w:val="6E6158"/>
          <w:spacing w:val="40"/>
        </w:rPr>
        <w:t> </w:t>
      </w:r>
      <w:r>
        <w:rPr>
          <w:color w:val="6E6158"/>
        </w:rPr>
        <w:t>Spring</w:t>
      </w:r>
      <w:r>
        <w:rPr>
          <w:color w:val="6E6158"/>
          <w:spacing w:val="40"/>
        </w:rPr>
        <w:t> </w:t>
      </w:r>
      <w:r>
        <w:rPr>
          <w:color w:val="6E6158"/>
        </w:rPr>
        <w:t>2018</w:t>
      </w:r>
    </w:p>
    <w:p>
      <w:pPr>
        <w:pStyle w:val="BodyText"/>
        <w:spacing w:line="420" w:lineRule="auto" w:before="132"/>
        <w:ind w:right="2685"/>
      </w:pPr>
      <w:r>
        <w:rPr>
          <w:color w:val="6E6158"/>
        </w:rPr>
        <w:t>Presenter, “Trademarks for Startups,” Colorado Preferred Partners, </w:t>
      </w:r>
      <w:r>
        <w:rPr>
          <w:color w:val="6E6158"/>
        </w:rPr>
        <w:t>2018 Presenter, “Intellectual Property Basics,” Jeffco Innovators, 2016</w:t>
      </w:r>
    </w:p>
    <w:p>
      <w:pPr>
        <w:pStyle w:val="BodyText"/>
        <w:spacing w:line="231" w:lineRule="exact"/>
      </w:pPr>
      <w:r>
        <w:rPr>
          <w:color w:val="6E6158"/>
        </w:rPr>
        <w:t>Presenter,</w:t>
      </w:r>
      <w:r>
        <w:rPr>
          <w:color w:val="6E6158"/>
          <w:spacing w:val="11"/>
        </w:rPr>
        <w:t> </w:t>
      </w:r>
      <w:r>
        <w:rPr>
          <w:color w:val="6E6158"/>
        </w:rPr>
        <w:t>“An</w:t>
      </w:r>
      <w:r>
        <w:rPr>
          <w:color w:val="6E6158"/>
          <w:spacing w:val="11"/>
        </w:rPr>
        <w:t> </w:t>
      </w:r>
      <w:r>
        <w:rPr>
          <w:color w:val="6E6158"/>
        </w:rPr>
        <w:t>Intellectual</w:t>
      </w:r>
      <w:r>
        <w:rPr>
          <w:color w:val="6E6158"/>
          <w:spacing w:val="11"/>
        </w:rPr>
        <w:t> </w:t>
      </w:r>
      <w:r>
        <w:rPr>
          <w:color w:val="6E6158"/>
        </w:rPr>
        <w:t>Property</w:t>
      </w:r>
      <w:r>
        <w:rPr>
          <w:color w:val="6E6158"/>
          <w:spacing w:val="12"/>
        </w:rPr>
        <w:t> </w:t>
      </w:r>
      <w:r>
        <w:rPr>
          <w:color w:val="6E6158"/>
        </w:rPr>
        <w:t>Toolbox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Inventors,”</w:t>
      </w:r>
      <w:r>
        <w:rPr>
          <w:color w:val="6E6158"/>
          <w:spacing w:val="12"/>
        </w:rPr>
        <w:t> </w:t>
      </w:r>
      <w:r>
        <w:rPr>
          <w:color w:val="6E6158"/>
        </w:rPr>
        <w:t>Denver</w:t>
      </w:r>
      <w:r>
        <w:rPr>
          <w:color w:val="6E6158"/>
          <w:spacing w:val="11"/>
        </w:rPr>
        <w:t> </w:t>
      </w:r>
      <w:r>
        <w:rPr>
          <w:color w:val="6E6158"/>
        </w:rPr>
        <w:t>Indian</w:t>
      </w:r>
      <w:r>
        <w:rPr>
          <w:color w:val="6E6158"/>
          <w:spacing w:val="11"/>
        </w:rPr>
        <w:t> </w:t>
      </w:r>
      <w:r>
        <w:rPr>
          <w:color w:val="6E6158"/>
        </w:rPr>
        <w:t>Bureau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2014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2" w:lineRule="auto"/>
        <w:ind w:right="3673"/>
      </w:pPr>
      <w:r>
        <w:rPr>
          <w:color w:val="6E6158"/>
        </w:rPr>
        <w:t>American Council of Engineering Companies of Colorado Former Board Member, Colorado Defense Lawyers </w:t>
      </w:r>
      <w:r>
        <w:rPr>
          <w:color w:val="6E6158"/>
        </w:rPr>
        <w:t>Association Chair, Trial Academy</w:t>
      </w:r>
    </w:p>
    <w:p>
      <w:pPr>
        <w:pStyle w:val="BodyText"/>
        <w:spacing w:line="232" w:lineRule="exact"/>
      </w:pPr>
      <w:r>
        <w:rPr>
          <w:color w:val="6E6158"/>
        </w:rPr>
        <w:t>Former</w:t>
      </w:r>
      <w:r>
        <w:rPr>
          <w:color w:val="6E6158"/>
          <w:spacing w:val="12"/>
        </w:rPr>
        <w:t> </w:t>
      </w:r>
      <w:r>
        <w:rPr>
          <w:color w:val="6E6158"/>
        </w:rPr>
        <w:t>Board</w:t>
      </w:r>
      <w:r>
        <w:rPr>
          <w:color w:val="6E6158"/>
          <w:spacing w:val="13"/>
        </w:rPr>
        <w:t> </w:t>
      </w:r>
      <w:r>
        <w:rPr>
          <w:color w:val="6E6158"/>
        </w:rPr>
        <w:t>Member,</w:t>
      </w:r>
      <w:r>
        <w:rPr>
          <w:color w:val="6E6158"/>
          <w:spacing w:val="13"/>
        </w:rPr>
        <w:t> </w:t>
      </w:r>
      <w:r>
        <w:rPr>
          <w:color w:val="6E6158"/>
        </w:rPr>
        <w:t>Professional</w:t>
      </w:r>
      <w:r>
        <w:rPr>
          <w:color w:val="6E6158"/>
          <w:spacing w:val="13"/>
        </w:rPr>
        <w:t> </w:t>
      </w:r>
      <w:r>
        <w:rPr>
          <w:color w:val="6E6158"/>
        </w:rPr>
        <w:t>Liability</w:t>
      </w:r>
      <w:r>
        <w:rPr>
          <w:color w:val="6E6158"/>
          <w:spacing w:val="13"/>
        </w:rPr>
        <w:t> </w:t>
      </w:r>
      <w:r>
        <w:rPr>
          <w:color w:val="6E6158"/>
        </w:rPr>
        <w:t>Defense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Federation</w:t>
      </w:r>
    </w:p>
    <w:p>
      <w:pPr>
        <w:pStyle w:val="BodyText"/>
        <w:spacing w:line="427" w:lineRule="auto" w:before="174"/>
        <w:ind w:right="2685"/>
      </w:pPr>
      <w:r>
        <w:rPr>
          <w:color w:val="6E6158"/>
        </w:rPr>
        <w:t>Colorado Bar Association, Intellectual Property and Construction </w:t>
      </w:r>
      <w:r>
        <w:rPr>
          <w:color w:val="6E6158"/>
        </w:rPr>
        <w:t>Sections American Intellectual Property Association</w:t>
      </w:r>
    </w:p>
    <w:p>
      <w:pPr>
        <w:pStyle w:val="BodyText"/>
        <w:spacing w:line="226" w:lineRule="exact"/>
      </w:pPr>
      <w:r>
        <w:rPr>
          <w:color w:val="6E6158"/>
        </w:rPr>
        <w:t>Habitat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Humanity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7" w:lineRule="auto"/>
        <w:ind w:right="4827"/>
      </w:pPr>
      <w:r>
        <w:rPr>
          <w:color w:val="6E6158"/>
        </w:rPr>
        <w:t>United States Patent and Trademark </w:t>
      </w:r>
      <w:r>
        <w:rPr>
          <w:color w:val="6E6158"/>
        </w:rPr>
        <w:t>Office </w:t>
      </w:r>
      <w:r>
        <w:rPr>
          <w:color w:val="6E6158"/>
          <w:spacing w:val="-2"/>
        </w:rPr>
        <w:t>Colorado</w:t>
      </w:r>
    </w:p>
    <w:p>
      <w:pPr>
        <w:pStyle w:val="BodyText"/>
        <w:spacing w:line="226" w:lineRule="exact"/>
      </w:pPr>
      <w:r>
        <w:rPr>
          <w:color w:val="6E6158"/>
          <w:spacing w:val="-2"/>
        </w:rPr>
        <w:t>Wyoming</w:t>
      </w:r>
    </w:p>
    <w:p>
      <w:pPr>
        <w:pStyle w:val="BodyText"/>
        <w:spacing w:line="422" w:lineRule="auto" w:before="174"/>
        <w:ind w:right="4203"/>
        <w:jc w:val="both"/>
      </w:pPr>
      <w:r>
        <w:rPr>
          <w:color w:val="6E6158"/>
        </w:rPr>
        <w:t>The United States District Court for the District of </w:t>
      </w:r>
      <w:r>
        <w:rPr>
          <w:color w:val="6E6158"/>
        </w:rPr>
        <w:t>Colorado The United States District Court for the District of Wyoming Tenth Circuit Court of Appeals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jallen@fennemorelaw.com" TargetMode="External"/><Relationship Id="rId11" Type="http://schemas.openxmlformats.org/officeDocument/2006/relationships/hyperlink" Target="https://www.fennemorelaw.com/building-bigger-building-smarter-january-allen-on-galvanize-joining-fennemore-and-legal-trends-in-construction-across-colorado/" TargetMode="External"/><Relationship Id="rId12" Type="http://schemas.openxmlformats.org/officeDocument/2006/relationships/hyperlink" Target="https://coloradopublicworksjournal.com/61-fall-2025/12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Allen - Fennemore</dc:title>
  <dcterms:created xsi:type="dcterms:W3CDTF">2026-06-12T09:36:53Z</dcterms:created>
  <dcterms:modified xsi:type="dcterms:W3CDTF">2026-06-12T09:36:53Z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