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JEFFERY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 LEVI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jlevi@fennemorelaw.com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JEFFERY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 LEVI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jlevi@fennemorelaw.com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JEFFERY</w:t>
      </w:r>
      <w:r>
        <w:rPr>
          <w:color w:val="FF8100"/>
          <w:spacing w:val="6"/>
        </w:rPr>
        <w:t> </w:t>
      </w:r>
      <w:r>
        <w:rPr>
          <w:color w:val="FF8100"/>
        </w:rPr>
        <w:t>B.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LEVI</w:t>
      </w:r>
    </w:p>
    <w:p>
      <w:pPr>
        <w:pStyle w:val="BodyText"/>
        <w:spacing w:line="297" w:lineRule="auto" w:before="147"/>
        <w:ind w:right="734"/>
      </w:pPr>
      <w:r>
        <w:rPr>
          <w:color w:val="6E6158"/>
        </w:rPr>
        <w:t>In addition to Jeff’s experience in estate planning, he has a background in corporate and</w:t>
      </w:r>
      <w:r>
        <w:rPr>
          <w:color w:val="6E6158"/>
          <w:spacing w:val="40"/>
        </w:rPr>
        <w:t> </w:t>
      </w:r>
      <w:r>
        <w:rPr>
          <w:color w:val="6E6158"/>
        </w:rPr>
        <w:t>transactional law, which gives him unique insights into advising individuals and families with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interests.</w:t>
      </w:r>
      <w:r>
        <w:rPr>
          <w:color w:val="6E6158"/>
          <w:spacing w:val="15"/>
        </w:rPr>
        <w:t> </w:t>
      </w:r>
      <w:r>
        <w:rPr>
          <w:color w:val="6E6158"/>
        </w:rPr>
        <w:t>Jeff</w:t>
      </w:r>
      <w:r>
        <w:rPr>
          <w:color w:val="6E6158"/>
          <w:spacing w:val="15"/>
        </w:rPr>
        <w:t> </w:t>
      </w:r>
      <w:r>
        <w:rPr>
          <w:color w:val="6E6158"/>
        </w:rPr>
        <w:t>works</w:t>
      </w:r>
      <w:r>
        <w:rPr>
          <w:color w:val="6E6158"/>
          <w:spacing w:val="15"/>
        </w:rPr>
        <w:t> </w:t>
      </w:r>
      <w:r>
        <w:rPr>
          <w:color w:val="6E6158"/>
        </w:rPr>
        <w:t>closely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devise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creative</w:t>
      </w:r>
      <w:r>
        <w:rPr>
          <w:color w:val="6E6158"/>
          <w:spacing w:val="15"/>
        </w:rPr>
        <w:t> </w:t>
      </w:r>
      <w:r>
        <w:rPr>
          <w:color w:val="6E6158"/>
        </w:rPr>
        <w:t>solutions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</w:p>
    <w:p>
      <w:pPr>
        <w:pStyle w:val="BodyText"/>
        <w:spacing w:line="302" w:lineRule="auto"/>
        <w:ind w:right="734"/>
      </w:pPr>
      <w:r>
        <w:rPr>
          <w:color w:val="6E6158"/>
        </w:rPr>
        <w:t>meet their objectives. He is certified by the State Bar of California Board of Legal Specialization</w:t>
      </w:r>
      <w:r>
        <w:rPr>
          <w:color w:val="6E6158"/>
          <w:spacing w:val="40"/>
        </w:rPr>
        <w:t> </w:t>
      </w:r>
      <w:r>
        <w:rPr>
          <w:color w:val="6E6158"/>
        </w:rPr>
        <w:t>as a specialist in estate planning, trust, and probate law.</w:t>
      </w:r>
    </w:p>
    <w:p>
      <w:pPr>
        <w:pStyle w:val="Heading3"/>
        <w:spacing w:before="182"/>
      </w:pP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95" w:lineRule="auto" w:before="52"/>
        <w:ind w:right="401"/>
      </w:pPr>
      <w:r>
        <w:rPr>
          <w:color w:val="6E6158"/>
        </w:rPr>
        <w:t>Jeff works with individuals and families to plan and structure their estates. He prepares revocable</w:t>
      </w:r>
      <w:r>
        <w:rPr>
          <w:color w:val="6E6158"/>
          <w:spacing w:val="40"/>
        </w:rPr>
        <w:t> </w:t>
      </w:r>
      <w:r>
        <w:rPr>
          <w:color w:val="6E6158"/>
        </w:rPr>
        <w:t>trusts,</w:t>
      </w:r>
      <w:r>
        <w:rPr>
          <w:color w:val="6E6158"/>
          <w:spacing w:val="35"/>
        </w:rPr>
        <w:t> </w:t>
      </w:r>
      <w:r>
        <w:rPr>
          <w:color w:val="6E6158"/>
        </w:rPr>
        <w:t>irrevocable</w:t>
      </w:r>
      <w:r>
        <w:rPr>
          <w:color w:val="6E6158"/>
          <w:spacing w:val="35"/>
        </w:rPr>
        <w:t> </w:t>
      </w:r>
      <w:r>
        <w:rPr>
          <w:color w:val="6E6158"/>
        </w:rPr>
        <w:t>generational</w:t>
      </w:r>
      <w:r>
        <w:rPr>
          <w:color w:val="6E6158"/>
          <w:spacing w:val="35"/>
        </w:rPr>
        <w:t> </w:t>
      </w:r>
      <w:r>
        <w:rPr>
          <w:color w:val="6E6158"/>
        </w:rPr>
        <w:t>trusts,</w:t>
      </w:r>
      <w:r>
        <w:rPr>
          <w:color w:val="6E6158"/>
          <w:spacing w:val="35"/>
        </w:rPr>
        <w:t> </w:t>
      </w:r>
      <w:r>
        <w:rPr>
          <w:color w:val="6E6158"/>
        </w:rPr>
        <w:t>wills,</w:t>
      </w:r>
      <w:r>
        <w:rPr>
          <w:color w:val="6E6158"/>
          <w:spacing w:val="35"/>
        </w:rPr>
        <w:t> </w:t>
      </w:r>
      <w:r>
        <w:rPr>
          <w:color w:val="6E6158"/>
        </w:rPr>
        <w:t>durable</w:t>
      </w:r>
      <w:r>
        <w:rPr>
          <w:color w:val="6E6158"/>
          <w:spacing w:val="35"/>
        </w:rPr>
        <w:t> </w:t>
      </w:r>
      <w:r>
        <w:rPr>
          <w:color w:val="6E6158"/>
        </w:rPr>
        <w:t>powers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attorney,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advance</w:t>
      </w:r>
      <w:r>
        <w:rPr>
          <w:color w:val="6E6158"/>
          <w:spacing w:val="35"/>
        </w:rPr>
        <w:t> </w:t>
      </w:r>
      <w:r>
        <w:rPr>
          <w:color w:val="6E6158"/>
        </w:rPr>
        <w:t>health care directives. With his corporate and transactional skills, Jeff frequently forms and prepares the</w:t>
      </w:r>
      <w:r>
        <w:rPr>
          <w:color w:val="6E6158"/>
          <w:spacing w:val="40"/>
        </w:rPr>
        <w:t> </w:t>
      </w:r>
      <w:r>
        <w:rPr>
          <w:color w:val="6E6158"/>
        </w:rPr>
        <w:t>organizational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operating</w:t>
      </w:r>
      <w:r>
        <w:rPr>
          <w:color w:val="6E6158"/>
          <w:spacing w:val="37"/>
        </w:rPr>
        <w:t> </w:t>
      </w:r>
      <w:r>
        <w:rPr>
          <w:color w:val="6E6158"/>
        </w:rPr>
        <w:t>documents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family</w:t>
      </w:r>
      <w:r>
        <w:rPr>
          <w:color w:val="6E6158"/>
          <w:spacing w:val="37"/>
        </w:rPr>
        <w:t> </w:t>
      </w:r>
      <w:r>
        <w:rPr>
          <w:color w:val="6E6158"/>
        </w:rPr>
        <w:t>businesses</w:t>
      </w:r>
      <w:r>
        <w:rPr>
          <w:color w:val="6E6158"/>
          <w:spacing w:val="37"/>
        </w:rPr>
        <w:t> </w:t>
      </w:r>
      <w:r>
        <w:rPr>
          <w:color w:val="6E6158"/>
        </w:rPr>
        <w:t>(such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family</w:t>
      </w:r>
      <w:r>
        <w:rPr>
          <w:color w:val="6E6158"/>
          <w:spacing w:val="37"/>
        </w:rPr>
        <w:t> </w:t>
      </w:r>
      <w:r>
        <w:rPr>
          <w:color w:val="6E6158"/>
        </w:rPr>
        <w:t>limited partnerships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limited</w:t>
      </w:r>
      <w:r>
        <w:rPr>
          <w:color w:val="6E6158"/>
          <w:spacing w:val="34"/>
        </w:rPr>
        <w:t> </w:t>
      </w:r>
      <w:r>
        <w:rPr>
          <w:color w:val="6E6158"/>
        </w:rPr>
        <w:t>liability</w:t>
      </w:r>
      <w:r>
        <w:rPr>
          <w:color w:val="6E6158"/>
          <w:spacing w:val="34"/>
        </w:rPr>
        <w:t> </w:t>
      </w:r>
      <w:r>
        <w:rPr>
          <w:color w:val="6E6158"/>
        </w:rPr>
        <w:t>companies)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meet</w:t>
      </w:r>
      <w:r>
        <w:rPr>
          <w:color w:val="6E6158"/>
          <w:spacing w:val="34"/>
        </w:rPr>
        <w:t> </w:t>
      </w:r>
      <w:r>
        <w:rPr>
          <w:color w:val="6E6158"/>
        </w:rPr>
        <w:t>clients’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planning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objectives.</w:t>
      </w:r>
    </w:p>
    <w:p>
      <w:pPr>
        <w:pStyle w:val="BodyText"/>
        <w:spacing w:before="22"/>
        <w:ind w:left="0"/>
      </w:pPr>
    </w:p>
    <w:p>
      <w:pPr>
        <w:pStyle w:val="Heading3"/>
      </w:pP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52"/>
      </w:pPr>
      <w:r>
        <w:rPr>
          <w:color w:val="6E6158"/>
        </w:rPr>
        <w:t>Jeff’s</w:t>
      </w:r>
      <w:r>
        <w:rPr>
          <w:color w:val="6E6158"/>
          <w:spacing w:val="16"/>
        </w:rPr>
        <w:t> </w:t>
      </w:r>
      <w:r>
        <w:rPr>
          <w:color w:val="6E6158"/>
        </w:rPr>
        <w:t>experience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forming,</w:t>
      </w:r>
      <w:r>
        <w:rPr>
          <w:color w:val="6E6158"/>
          <w:spacing w:val="17"/>
        </w:rPr>
        <w:t> </w:t>
      </w:r>
      <w:r>
        <w:rPr>
          <w:color w:val="6E6158"/>
        </w:rPr>
        <w:t>organizing,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counseling</w:t>
      </w:r>
      <w:r>
        <w:rPr>
          <w:color w:val="6E6158"/>
          <w:spacing w:val="17"/>
        </w:rPr>
        <w:t> </w:t>
      </w:r>
      <w:r>
        <w:rPr>
          <w:color w:val="6E6158"/>
        </w:rPr>
        <w:t>limited</w:t>
      </w:r>
      <w:r>
        <w:rPr>
          <w:color w:val="6E6158"/>
          <w:spacing w:val="16"/>
        </w:rPr>
        <w:t> </w:t>
      </w:r>
      <w:r>
        <w:rPr>
          <w:color w:val="6E6158"/>
        </w:rPr>
        <w:t>liability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companies,</w:t>
      </w:r>
    </w:p>
    <w:p>
      <w:pPr>
        <w:pStyle w:val="BodyText"/>
        <w:spacing w:line="297" w:lineRule="auto" w:before="52"/>
        <w:ind w:right="734"/>
      </w:pPr>
      <w:r>
        <w:rPr>
          <w:color w:val="6E6158"/>
        </w:rPr>
        <w:t>partnerships, and corporations. He has acted as outside counsel for entities on a variety of legal</w:t>
      </w:r>
      <w:r>
        <w:rPr>
          <w:color w:val="6E6158"/>
          <w:spacing w:val="40"/>
        </w:rPr>
        <w:t> </w:t>
      </w:r>
      <w:r>
        <w:rPr>
          <w:color w:val="6E6158"/>
        </w:rPr>
        <w:t>issues, such as buy-sell agreements, duties of directors, and family business succession.</w:t>
      </w:r>
      <w:r>
        <w:rPr>
          <w:color w:val="6E6158"/>
          <w:spacing w:val="80"/>
        </w:rPr>
        <w:t> </w:t>
      </w:r>
      <w:r>
        <w:rPr>
          <w:color w:val="6E6158"/>
        </w:rPr>
        <w:t>Jeff has handled major transactions, including acquisitions, financings, conversions, and dissolutions,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advises clients about their estate planning options when faced with liquidity events or other</w:t>
      </w:r>
      <w:r>
        <w:rPr>
          <w:color w:val="6E6158"/>
          <w:spacing w:val="40"/>
        </w:rPr>
        <w:t> </w:t>
      </w:r>
      <w:r>
        <w:rPr>
          <w:color w:val="6E6158"/>
        </w:rPr>
        <w:t>changes in their businesses. Jeff also has substantial experience with forming, counseling, and</w:t>
      </w:r>
      <w:r>
        <w:rPr>
          <w:color w:val="6E6158"/>
          <w:spacing w:val="40"/>
        </w:rPr>
        <w:t> </w:t>
      </w:r>
      <w:r>
        <w:rPr>
          <w:color w:val="6E6158"/>
        </w:rPr>
        <w:t>obtaining tax-exempt status for nonprofit organizations.</w:t>
      </w:r>
    </w:p>
    <w:p>
      <w:pPr>
        <w:pStyle w:val="BodyText"/>
        <w:spacing w:line="420" w:lineRule="auto" w:before="187"/>
        <w:ind w:right="773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ind w:left="154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Francisco,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>
          <w:color w:val="6E6158"/>
        </w:rPr>
        <w:t>B.A.,</w:t>
      </w:r>
      <w:r>
        <w:rPr>
          <w:color w:val="6E6158"/>
          <w:spacing w:val="14"/>
        </w:rPr>
        <w:t> </w:t>
      </w:r>
      <w:r>
        <w:rPr>
          <w:color w:val="6E6158"/>
        </w:rPr>
        <w:t>Pomona</w:t>
      </w:r>
      <w:r>
        <w:rPr>
          <w:color w:val="6E6158"/>
          <w:spacing w:val="14"/>
        </w:rPr>
        <w:t> </w:t>
      </w:r>
      <w:r>
        <w:rPr>
          <w:color w:val="6E6158"/>
        </w:rPr>
        <w:t>College,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</w:pPr>
      <w:r>
        <w:rPr>
          <w:color w:val="6E6158"/>
        </w:rPr>
        <w:t>OTHER</w:t>
      </w:r>
      <w:r>
        <w:rPr>
          <w:color w:val="6E6158"/>
          <w:spacing w:val="-10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538" w:lineRule="exact" w:before="15"/>
        <w:ind w:right="5931"/>
      </w:pPr>
      <w:r>
        <w:rPr>
          <w:color w:val="6E6158"/>
        </w:rPr>
        <w:t>Nonprofits and Trade </w:t>
      </w:r>
      <w:r>
        <w:rPr>
          <w:color w:val="6E6158"/>
        </w:rPr>
        <w:t>Organizations Trusts &amp; Estates</w:t>
      </w:r>
    </w:p>
    <w:p>
      <w:pPr>
        <w:pStyle w:val="BodyText"/>
        <w:spacing w:before="107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line="398" w:lineRule="auto" w:before="0"/>
        <w:ind w:left="99" w:right="2405" w:firstLine="0"/>
        <w:jc w:val="left"/>
        <w:rPr>
          <w:sz w:val="19"/>
        </w:rPr>
      </w:pPr>
      <w:r>
        <w:rPr>
          <w:color w:val="6E6158"/>
          <w:sz w:val="19"/>
        </w:rPr>
        <w:t>Super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2014-2019,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z w:val="19"/>
        </w:rPr>
        <w:t>2026 Rising Star, </w:t>
      </w: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2009-2010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ind w:left="0"/>
        <w:rPr>
          <w:b/>
        </w:rPr>
      </w:pPr>
    </w:p>
    <w:p>
      <w:pPr>
        <w:spacing w:line="278" w:lineRule="auto" w:before="0"/>
        <w:ind w:left="99" w:right="734" w:firstLine="54"/>
        <w:jc w:val="left"/>
        <w:rPr>
          <w:sz w:val="19"/>
        </w:rPr>
      </w:pPr>
      <w:r>
        <w:rPr>
          <w:color w:val="6E6158"/>
          <w:sz w:val="19"/>
        </w:rPr>
        <w:t>Author, “Keeping Your Family Business Intact from One Generation to Another” </w:t>
      </w:r>
      <w:r>
        <w:rPr>
          <w:i/>
          <w:color w:val="6E6158"/>
          <w:sz w:val="20"/>
        </w:rPr>
        <w:t>Oakland</w:t>
      </w:r>
      <w:r>
        <w:rPr>
          <w:i/>
          <w:color w:val="6E6158"/>
          <w:sz w:val="20"/>
        </w:rPr>
        <w:t> Business Review</w:t>
      </w:r>
      <w:r>
        <w:rPr>
          <w:color w:val="6E6158"/>
          <w:sz w:val="19"/>
        </w:rPr>
        <w:t>, May 24, 2019</w:t>
      </w:r>
    </w:p>
    <w:p>
      <w:pPr>
        <w:pStyle w:val="BodyText"/>
        <w:spacing w:line="297" w:lineRule="auto" w:before="123"/>
        <w:ind w:right="1154"/>
      </w:pPr>
      <w:r>
        <w:rPr>
          <w:color w:val="6E6158"/>
        </w:rPr>
        <w:t>Author, “Tax Strategies For Family-Owned Businesses?” </w:t>
      </w:r>
      <w:r>
        <w:rPr>
          <w:i/>
          <w:color w:val="6E6158"/>
          <w:sz w:val="20"/>
        </w:rPr>
        <w:t>Financial Advisor</w:t>
      </w:r>
      <w:r>
        <w:rPr>
          <w:color w:val="6E6158"/>
        </w:rPr>
        <w:t>, September </w:t>
      </w:r>
      <w:r>
        <w:rPr>
          <w:color w:val="6E6158"/>
        </w:rPr>
        <w:t>07, </w:t>
      </w:r>
      <w:r>
        <w:rPr>
          <w:color w:val="6E6158"/>
          <w:spacing w:val="-4"/>
        </w:rPr>
        <w:t>2016</w:t>
      </w:r>
    </w:p>
    <w:p>
      <w:pPr>
        <w:pStyle w:val="BodyText"/>
        <w:spacing w:before="106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982"/>
      </w:pPr>
      <w:r>
        <w:rPr>
          <w:color w:val="6E6158"/>
        </w:rPr>
        <w:t>Member, Trust and Estates and Business Sections, California State </w:t>
      </w:r>
      <w:r>
        <w:rPr>
          <w:color w:val="6E6158"/>
        </w:rPr>
        <w:t>Bar Past President, East Bay Trusts and Estates Lawyers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2"/>
        </w:rPr>
        <w:t> </w:t>
      </w:r>
      <w:r>
        <w:rPr>
          <w:color w:val="6E6158"/>
        </w:rPr>
        <w:t>East</w:t>
      </w:r>
      <w:r>
        <w:rPr>
          <w:color w:val="6E6158"/>
          <w:spacing w:val="2"/>
        </w:rPr>
        <w:t> </w:t>
      </w:r>
      <w:r>
        <w:rPr>
          <w:color w:val="6E6158"/>
        </w:rPr>
        <w:t>Bay</w:t>
      </w:r>
      <w:r>
        <w:rPr>
          <w:color w:val="6E6158"/>
          <w:spacing w:val="2"/>
        </w:rPr>
        <w:t> </w:t>
      </w:r>
      <w:r>
        <w:rPr>
          <w:color w:val="6E6158"/>
        </w:rPr>
        <w:t>Tax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182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East</w:t>
      </w:r>
      <w:r>
        <w:rPr>
          <w:color w:val="6E6158"/>
          <w:spacing w:val="8"/>
        </w:rPr>
        <w:t> </w:t>
      </w:r>
      <w:r>
        <w:rPr>
          <w:color w:val="6E6158"/>
        </w:rPr>
        <w:t>Bay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ind w:left="99"/>
      <w:outlineLvl w:val="2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lev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Jeffery B. Levi - Fennemore</dc:title>
  <dcterms:created xsi:type="dcterms:W3CDTF">2026-06-30T15:21:34Z</dcterms:created>
  <dcterms:modified xsi:type="dcterms:W3CDTF">2026-06-30T15:21:34Z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