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NNI HARM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17112" y="1369338"/>
                            <a:ext cx="187578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789" h="320675">
                                <a:moveTo>
                                  <a:pt x="187573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75739" y="320382"/>
                                </a:lnTo>
                                <a:lnTo>
                                  <a:pt x="1875739" y="315214"/>
                                </a:lnTo>
                                <a:close/>
                              </a:path>
                              <a:path w="1875789" h="320675">
                                <a:moveTo>
                                  <a:pt x="1875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75739" y="5168"/>
                                </a:lnTo>
                                <a:lnTo>
                                  <a:pt x="1875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16311" y="763308"/>
                            <a:ext cx="18878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JENNI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HARMON</w:t>
                              </w:r>
                            </w:p>
                            <w:p>
                              <w:pPr>
                                <w:spacing w:before="39"/>
                                <w:ind w:left="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1859626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327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89820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916.920.8608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4433" y="2226505"/>
                            <a:ext cx="15113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jharmon@fennemorelaw.com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JENNI HARMON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32;top:-2501;width:2954;height:505" id="docshape5" coordorigin="7032,-2500" coordsize="2954,505" path="m9986,-2004l7032,-2004,7032,-1996,9986,-1996,9986,-2004xm9986,-2500l7032,-2500,7032,-2492,9986,-2492,9986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31;top:-3455;width:297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JENNI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HARMON</w:t>
                        </w:r>
                      </w:p>
                      <w:p>
                        <w:pPr>
                          <w:spacing w:before="39"/>
                          <w:ind w:left="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73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721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916.920.8608</w:t>
                        </w:r>
                      </w:p>
                    </w:txbxContent>
                  </v:textbox>
                  <w10:wrap type="none"/>
                </v:shape>
                <v:shape style="position:absolute;left:7327;top:-1151;width:238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jharmon@fennemorelaw.com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JENNI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HARMON</w:t>
      </w:r>
    </w:p>
    <w:p>
      <w:pPr>
        <w:pStyle w:val="BodyText"/>
        <w:spacing w:line="302" w:lineRule="auto" w:before="147"/>
        <w:ind w:left="99" w:right="155"/>
      </w:pPr>
      <w:r>
        <w:rPr>
          <w:color w:val="6E6158"/>
        </w:rPr>
        <w:t>Jenni Harmon practices trust and estate litigation, probate and trust administration, estate</w:t>
      </w:r>
      <w:r>
        <w:rPr>
          <w:color w:val="6E6158"/>
          <w:spacing w:val="40"/>
        </w:rPr>
        <w:t> </w:t>
      </w:r>
      <w:r>
        <w:rPr>
          <w:color w:val="6E6158"/>
        </w:rPr>
        <w:t>planning,</w:t>
      </w:r>
      <w:r>
        <w:rPr>
          <w:color w:val="6E6158"/>
          <w:spacing w:val="16"/>
        </w:rPr>
        <w:t> </w:t>
      </w:r>
      <w:r>
        <w:rPr>
          <w:color w:val="6E6158"/>
        </w:rPr>
        <w:t>taxation,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7"/>
        </w:rPr>
        <w:t> </w:t>
      </w:r>
      <w:r>
        <w:rPr>
          <w:color w:val="6E6158"/>
        </w:rPr>
        <w:t>transactions.</w:t>
      </w:r>
      <w:r>
        <w:rPr>
          <w:color w:val="6E6158"/>
          <w:spacing w:val="17"/>
        </w:rPr>
        <w:t> </w:t>
      </w:r>
      <w:r>
        <w:rPr>
          <w:color w:val="6E6158"/>
        </w:rPr>
        <w:t>Her</w:t>
      </w:r>
      <w:r>
        <w:rPr>
          <w:color w:val="6E6158"/>
          <w:spacing w:val="16"/>
        </w:rPr>
        <w:t> </w:t>
      </w:r>
      <w:r>
        <w:rPr>
          <w:color w:val="6E6158"/>
        </w:rPr>
        <w:t>comprehensive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7"/>
        </w:rPr>
        <w:t> </w:t>
      </w:r>
      <w:r>
        <w:rPr>
          <w:color w:val="6E6158"/>
        </w:rPr>
        <w:t>planning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line="297" w:lineRule="auto"/>
        <w:ind w:left="99"/>
      </w:pPr>
      <w:r>
        <w:rPr>
          <w:color w:val="6E6158"/>
        </w:rPr>
        <w:t>include skillfully crafting tailored plans that include drafting complex estate planning </w:t>
      </w:r>
      <w:r>
        <w:rPr>
          <w:color w:val="6E6158"/>
        </w:rPr>
        <w:t>documents,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28"/>
        </w:rPr>
        <w:t> </w:t>
      </w:r>
      <w:r>
        <w:rPr>
          <w:color w:val="6E6158"/>
        </w:rPr>
        <w:t>wills,</w:t>
      </w:r>
      <w:r>
        <w:rPr>
          <w:color w:val="6E6158"/>
          <w:spacing w:val="28"/>
        </w:rPr>
        <w:t> </w:t>
      </w:r>
      <w:r>
        <w:rPr>
          <w:color w:val="6E6158"/>
        </w:rPr>
        <w:t>trusts,</w:t>
      </w:r>
      <w:r>
        <w:rPr>
          <w:color w:val="6E6158"/>
          <w:spacing w:val="28"/>
        </w:rPr>
        <w:t> </w:t>
      </w:r>
      <w:r>
        <w:rPr>
          <w:color w:val="6E6158"/>
        </w:rPr>
        <w:t>special</w:t>
      </w:r>
      <w:r>
        <w:rPr>
          <w:color w:val="6E6158"/>
          <w:spacing w:val="28"/>
        </w:rPr>
        <w:t> </w:t>
      </w:r>
      <w:r>
        <w:rPr>
          <w:color w:val="6E6158"/>
        </w:rPr>
        <w:t>needs</w:t>
      </w:r>
      <w:r>
        <w:rPr>
          <w:color w:val="6E6158"/>
          <w:spacing w:val="28"/>
        </w:rPr>
        <w:t> </w:t>
      </w:r>
      <w:r>
        <w:rPr>
          <w:color w:val="6E6158"/>
        </w:rPr>
        <w:t>trusts,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other</w:t>
      </w:r>
      <w:r>
        <w:rPr>
          <w:color w:val="6E6158"/>
          <w:spacing w:val="28"/>
        </w:rPr>
        <w:t> </w:t>
      </w:r>
      <w:r>
        <w:rPr>
          <w:color w:val="6E6158"/>
        </w:rPr>
        <w:t>key</w:t>
      </w:r>
      <w:r>
        <w:rPr>
          <w:color w:val="6E6158"/>
          <w:spacing w:val="28"/>
        </w:rPr>
        <w:t> </w:t>
      </w:r>
      <w:r>
        <w:rPr>
          <w:color w:val="6E6158"/>
        </w:rPr>
        <w:t>documents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meet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unique</w:t>
      </w:r>
      <w:r>
        <w:rPr>
          <w:color w:val="6E6158"/>
          <w:spacing w:val="28"/>
        </w:rPr>
        <w:t> </w:t>
      </w:r>
      <w:r>
        <w:rPr>
          <w:color w:val="6E6158"/>
        </w:rPr>
        <w:t>needs and goals of her clients.</w:t>
      </w:r>
    </w:p>
    <w:p>
      <w:pPr>
        <w:pStyle w:val="BodyText"/>
        <w:spacing w:line="292" w:lineRule="auto" w:before="182"/>
        <w:ind w:left="99"/>
      </w:pPr>
      <w:r>
        <w:rPr>
          <w:color w:val="6E6158"/>
        </w:rPr>
        <w:t>Jenni navigates the complexities of probating estates, administering trusts, and advising </w:t>
      </w:r>
      <w:r>
        <w:rPr>
          <w:color w:val="6E6158"/>
        </w:rPr>
        <w:t>personal</w:t>
      </w:r>
      <w:r>
        <w:rPr>
          <w:color w:val="6E6158"/>
          <w:spacing w:val="40"/>
        </w:rPr>
        <w:t> </w:t>
      </w:r>
      <w:r>
        <w:rPr>
          <w:color w:val="6E6158"/>
        </w:rPr>
        <w:t>representatives,</w:t>
      </w:r>
      <w:r>
        <w:rPr>
          <w:color w:val="6E6158"/>
          <w:spacing w:val="32"/>
        </w:rPr>
        <w:t> </w:t>
      </w:r>
      <w:r>
        <w:rPr>
          <w:color w:val="6E6158"/>
        </w:rPr>
        <w:t>trustees,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beneficiaries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ensure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smooth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compliant</w:t>
      </w:r>
      <w:r>
        <w:rPr>
          <w:color w:val="6E6158"/>
          <w:spacing w:val="32"/>
        </w:rPr>
        <w:t> </w:t>
      </w:r>
      <w:r>
        <w:rPr>
          <w:color w:val="6E6158"/>
        </w:rPr>
        <w:t>process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</w:p>
    <w:p>
      <w:pPr>
        <w:pStyle w:val="BodyText"/>
        <w:spacing w:line="295" w:lineRule="auto" w:before="1"/>
        <w:ind w:left="99" w:right="155"/>
      </w:pPr>
      <w:r>
        <w:rPr>
          <w:color w:val="6E6158"/>
        </w:rPr>
        <w:t>clients.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Jenni’s</w:t>
      </w:r>
      <w:r>
        <w:rPr>
          <w:color w:val="6E6158"/>
          <w:spacing w:val="35"/>
        </w:rPr>
        <w:t> </w:t>
      </w:r>
      <w:r>
        <w:rPr>
          <w:color w:val="6E6158"/>
        </w:rPr>
        <w:t>probate</w:t>
      </w:r>
      <w:r>
        <w:rPr>
          <w:color w:val="6E6158"/>
          <w:spacing w:val="35"/>
        </w:rPr>
        <w:t> </w:t>
      </w:r>
      <w:r>
        <w:rPr>
          <w:color w:val="6E6158"/>
        </w:rPr>
        <w:t>litigation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involves</w:t>
      </w:r>
      <w:r>
        <w:rPr>
          <w:color w:val="6E6158"/>
          <w:spacing w:val="35"/>
        </w:rPr>
        <w:t> </w:t>
      </w:r>
      <w:r>
        <w:rPr>
          <w:color w:val="6E6158"/>
        </w:rPr>
        <w:t>representing</w:t>
      </w:r>
      <w:r>
        <w:rPr>
          <w:color w:val="6E6158"/>
          <w:spacing w:val="35"/>
        </w:rPr>
        <w:t> </w:t>
      </w:r>
      <w:r>
        <w:rPr>
          <w:color w:val="6E6158"/>
        </w:rPr>
        <w:t>fiduciaries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beneficiaries</w:t>
      </w:r>
      <w:r>
        <w:rPr>
          <w:color w:val="6E6158"/>
          <w:spacing w:val="35"/>
        </w:rPr>
        <w:t> </w:t>
      </w:r>
      <w:r>
        <w:rPr>
          <w:color w:val="6E6158"/>
        </w:rPr>
        <w:t>in all types of trust and estate matters, as well as conservatorships and guardianships.</w:t>
      </w:r>
      <w:r>
        <w:rPr>
          <w:color w:val="6E6158"/>
          <w:spacing w:val="77"/>
        </w:rPr>
        <w:t> </w:t>
      </w:r>
      <w:r>
        <w:rPr>
          <w:color w:val="6E6158"/>
        </w:rPr>
        <w:t>Her skill in this</w:t>
      </w:r>
      <w:r>
        <w:rPr>
          <w:color w:val="6E6158"/>
          <w:spacing w:val="40"/>
        </w:rPr>
        <w:t> </w:t>
      </w:r>
      <w:r>
        <w:rPr>
          <w:color w:val="6E6158"/>
        </w:rPr>
        <w:t>area, combined with her knowledge in taxation and business transactions, makes her a valuable</w:t>
      </w:r>
      <w:r>
        <w:rPr>
          <w:color w:val="6E6158"/>
          <w:spacing w:val="40"/>
        </w:rPr>
        <w:t> </w:t>
      </w:r>
      <w:r>
        <w:rPr>
          <w:color w:val="6E6158"/>
        </w:rPr>
        <w:t>asset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looking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well-rounded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guidance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trusts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estates</w:t>
      </w:r>
      <w:r>
        <w:rPr>
          <w:color w:val="6E6158"/>
          <w:spacing w:val="30"/>
        </w:rPr>
        <w:t> </w:t>
      </w:r>
      <w:r>
        <w:rPr>
          <w:color w:val="6E6158"/>
        </w:rPr>
        <w:t>matters.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E-LL.M.,</w:t>
      </w:r>
      <w:r>
        <w:rPr>
          <w:color w:val="6E6158"/>
          <w:spacing w:val="8"/>
        </w:rPr>
        <w:t> </w:t>
      </w:r>
      <w:r>
        <w:rPr>
          <w:color w:val="6E6158"/>
        </w:rPr>
        <w:t>Taxation,</w:t>
      </w:r>
      <w:r>
        <w:rPr>
          <w:color w:val="6E6158"/>
          <w:spacing w:val="8"/>
        </w:rPr>
        <w:t> </w:t>
      </w:r>
      <w:r>
        <w:rPr>
          <w:color w:val="6E6158"/>
        </w:rPr>
        <w:t>New</w:t>
      </w:r>
      <w:r>
        <w:rPr>
          <w:color w:val="6E6158"/>
          <w:spacing w:val="8"/>
        </w:rPr>
        <w:t> </w:t>
      </w:r>
      <w:r>
        <w:rPr>
          <w:color w:val="6E6158"/>
        </w:rPr>
        <w:t>York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92" w:lineRule="auto" w:before="173"/>
        <w:ind w:left="99" w:right="889"/>
      </w:pPr>
      <w:r>
        <w:rPr>
          <w:color w:val="6E6158"/>
        </w:rPr>
        <w:t>J.D., with Distinction, Concentration in Tax Law, McGeorge School of Law, University of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Pacific</w:t>
      </w:r>
    </w:p>
    <w:p>
      <w:pPr>
        <w:pStyle w:val="BodyText"/>
        <w:spacing w:before="124"/>
        <w:ind w:left="99"/>
      </w:pP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Political</w:t>
      </w:r>
      <w:r>
        <w:rPr>
          <w:color w:val="6E6158"/>
          <w:spacing w:val="10"/>
        </w:rPr>
        <w:t> </w:t>
      </w:r>
      <w:r>
        <w:rPr>
          <w:color w:val="6E6158"/>
        </w:rPr>
        <w:t>Science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Pre-Law</w:t>
      </w:r>
      <w:r>
        <w:rPr>
          <w:color w:val="6E6158"/>
          <w:spacing w:val="10"/>
        </w:rPr>
        <w:t> </w:t>
      </w:r>
      <w:r>
        <w:rPr>
          <w:color w:val="6E6158"/>
        </w:rPr>
        <w:t>Emphasis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Italian</w:t>
      </w:r>
      <w:r>
        <w:rPr>
          <w:color w:val="6E6158"/>
          <w:spacing w:val="10"/>
        </w:rPr>
        <w:t> </w:t>
      </w:r>
      <w:r>
        <w:rPr>
          <w:color w:val="6E6158"/>
        </w:rPr>
        <w:t>Minor,</w:t>
      </w:r>
      <w:r>
        <w:rPr>
          <w:color w:val="6E6158"/>
          <w:spacing w:val="10"/>
        </w:rPr>
        <w:t> </w:t>
      </w:r>
      <w:r>
        <w:rPr>
          <w:color w:val="6E6158"/>
        </w:rPr>
        <w:t>Santa</w:t>
      </w:r>
      <w:r>
        <w:rPr>
          <w:color w:val="6E6158"/>
          <w:spacing w:val="10"/>
        </w:rPr>
        <w:t> </w:t>
      </w:r>
      <w:r>
        <w:rPr>
          <w:color w:val="6E6158"/>
        </w:rPr>
        <w:t>Clara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7540"/>
      </w:pPr>
      <w:r>
        <w:rPr>
          <w:color w:val="6E6158"/>
        </w:rPr>
        <w:t>Trusts &amp; Estates Estate </w:t>
      </w:r>
      <w:r>
        <w:rPr>
          <w:color w:val="6E6158"/>
        </w:rPr>
        <w:t>Litigation Tax Law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7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889"/>
      </w:pPr>
      <w:r>
        <w:rPr>
          <w:color w:val="6E6158"/>
        </w:rPr>
        <w:t>Witkin Award for highest grade in Fundamental Rights in Europe and the United States Witkin award for highest grade in Bankruptcy 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2079"/>
        <w:jc w:val="both"/>
      </w:pPr>
      <w:r>
        <w:rPr>
          <w:color w:val="6E6158"/>
        </w:rPr>
        <w:t>Witkin Award for highest grade in Taxation (U.S.) of International Transactions Sacramento Magazine List of 2017 Top Lawyers in Sacramento (Tax)</w:t>
      </w:r>
    </w:p>
    <w:p>
      <w:pPr>
        <w:pStyle w:val="BodyText"/>
        <w:spacing w:before="7"/>
        <w:ind w:left="99"/>
        <w:jc w:val="both"/>
      </w:pPr>
      <w:r>
        <w:rPr>
          <w:color w:val="6E6158"/>
        </w:rPr>
        <w:t>Sacramento</w:t>
      </w:r>
      <w:r>
        <w:rPr>
          <w:color w:val="6E6158"/>
          <w:spacing w:val="11"/>
        </w:rPr>
        <w:t> </w:t>
      </w:r>
      <w:r>
        <w:rPr>
          <w:color w:val="6E6158"/>
        </w:rPr>
        <w:t>Magazine</w:t>
      </w:r>
      <w:r>
        <w:rPr>
          <w:color w:val="6E6158"/>
          <w:spacing w:val="12"/>
        </w:rPr>
        <w:t> </w:t>
      </w:r>
      <w:r>
        <w:rPr>
          <w:color w:val="6E6158"/>
        </w:rPr>
        <w:t>List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2018</w:t>
      </w:r>
      <w:r>
        <w:rPr>
          <w:color w:val="6E6158"/>
          <w:spacing w:val="12"/>
        </w:rPr>
        <w:t> </w:t>
      </w: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Sacramento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(Tax)</w:t>
      </w:r>
    </w:p>
    <w:p>
      <w:pPr>
        <w:pStyle w:val="BodyText"/>
        <w:spacing w:line="420" w:lineRule="auto" w:before="174"/>
        <w:ind w:left="99" w:right="499"/>
        <w:jc w:val="both"/>
      </w:pPr>
      <w:r>
        <w:rPr>
          <w:color w:val="6E6158"/>
        </w:rPr>
        <w:t>Sacramento Magazine List of 2019 Top Lawyers in Sacramento (Estate Planning and </w:t>
      </w:r>
      <w:r>
        <w:rPr>
          <w:color w:val="6E6158"/>
        </w:rPr>
        <w:t>Probate) Sacramento Magazine List of 2023 Top Lawyers in Sacramento (Estate Planning and Probate) Sacramento Business Journal Best of the Bar – 2017</w:t>
      </w:r>
    </w:p>
    <w:p>
      <w:pPr>
        <w:pStyle w:val="Heading1"/>
        <w:spacing w:before="28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/>
      </w:pPr>
      <w:r>
        <w:rPr>
          <w:color w:val="6E6158"/>
        </w:rPr>
        <w:t>Presenter, “Third Time’s a Charm?</w:t>
      </w:r>
      <w:r>
        <w:rPr>
          <w:color w:val="6E6158"/>
          <w:spacing w:val="75"/>
        </w:rPr>
        <w:t> </w:t>
      </w:r>
      <w:r>
        <w:rPr>
          <w:color w:val="6E6158"/>
        </w:rPr>
        <w:t>Key v. Tyler and No Contest Clauses,” 2025 Estate and Gift Tax Conference, March 6-7, 2025</w:t>
      </w:r>
    </w:p>
    <w:p>
      <w:pPr>
        <w:pStyle w:val="BodyText"/>
        <w:spacing w:line="292" w:lineRule="auto" w:before="124"/>
        <w:ind w:left="99"/>
      </w:pPr>
      <w:r>
        <w:rPr>
          <w:color w:val="6E6158"/>
        </w:rPr>
        <w:t>Presenter, “The Tip of the Iceberg:</w:t>
      </w:r>
      <w:r>
        <w:rPr>
          <w:color w:val="6E6158"/>
          <w:spacing w:val="72"/>
        </w:rPr>
        <w:t> </w:t>
      </w:r>
      <w:r>
        <w:rPr>
          <w:color w:val="6E6158"/>
        </w:rPr>
        <w:t>How Not to Muck Up An Estate Plan,” 2024 Estate and Gift Tax Conference, California Lawyers Association, March 21, 2024</w:t>
      </w:r>
    </w:p>
    <w:p>
      <w:pPr>
        <w:pStyle w:val="BodyText"/>
        <w:spacing w:line="292" w:lineRule="auto" w:before="131"/>
        <w:ind w:left="99"/>
      </w:pPr>
      <w:r>
        <w:rPr>
          <w:color w:val="6E6158"/>
        </w:rPr>
        <w:t>Co-Author, “Clarifying Standards for Trade or Business Real Estate Debt,” Viewpoint Tax Notes, September 11, 2015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1841"/>
      </w:pPr>
      <w:r>
        <w:rPr>
          <w:color w:val="6E6158"/>
        </w:rPr>
        <w:t>Member, Executive Committee, Taxation Section, State Bar of </w:t>
      </w:r>
      <w:r>
        <w:rPr>
          <w:color w:val="6E6158"/>
        </w:rPr>
        <w:t>California Member, State Bar of California</w:t>
      </w:r>
    </w:p>
    <w:p>
      <w:pPr>
        <w:pStyle w:val="BodyText"/>
        <w:spacing w:line="201" w:lineRule="exact"/>
        <w:ind w:left="343"/>
      </w:pPr>
      <w:r>
        <w:rPr>
          <w:color w:val="6E6158"/>
        </w:rPr>
        <w:t>Trusts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Estates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before="174"/>
        <w:ind w:left="343"/>
      </w:pPr>
      <w:r>
        <w:rPr>
          <w:color w:val="6E6158"/>
        </w:rPr>
        <w:t>Taxation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line="403" w:lineRule="auto" w:before="174"/>
        <w:ind w:left="343" w:right="4927" w:hanging="245"/>
      </w:pPr>
      <w:r>
        <w:rPr>
          <w:color w:val="6E6158"/>
        </w:rPr>
        <w:t>Member, Sacramento County Bar </w:t>
      </w:r>
      <w:r>
        <w:rPr>
          <w:color w:val="6E6158"/>
        </w:rPr>
        <w:t>Association Probate and Estate Planning Section</w:t>
      </w:r>
    </w:p>
    <w:p>
      <w:pPr>
        <w:pStyle w:val="BodyText"/>
        <w:spacing w:line="420" w:lineRule="auto" w:before="15"/>
        <w:ind w:left="343" w:right="7275"/>
      </w:pPr>
      <w:r>
        <w:rPr>
          <w:color w:val="6E6158"/>
        </w:rPr>
        <w:t>Tax Section Business </w:t>
      </w:r>
      <w:r>
        <w:rPr>
          <w:color w:val="6E6158"/>
        </w:rPr>
        <w:t>Section</w:t>
      </w:r>
    </w:p>
    <w:p>
      <w:pPr>
        <w:pStyle w:val="BodyText"/>
        <w:spacing w:line="393" w:lineRule="auto" w:before="6"/>
        <w:ind w:left="343" w:right="4927" w:hanging="245"/>
      </w:pPr>
      <w:r>
        <w:rPr>
          <w:color w:val="6E6158"/>
        </w:rPr>
        <w:t>Sacramento Estate Planning </w:t>
      </w:r>
      <w:r>
        <w:rPr>
          <w:color w:val="6E6158"/>
        </w:rPr>
        <w:t>Council, Education Chair, 2021-2022</w:t>
      </w:r>
    </w:p>
    <w:p>
      <w:pPr>
        <w:pStyle w:val="BodyText"/>
        <w:spacing w:before="26"/>
        <w:ind w:left="343"/>
      </w:pPr>
      <w:r>
        <w:rPr>
          <w:color w:val="6E6158"/>
        </w:rPr>
        <w:t>Director,</w:t>
      </w:r>
      <w:r>
        <w:rPr>
          <w:color w:val="6E6158"/>
          <w:spacing w:val="4"/>
        </w:rPr>
        <w:t> </w:t>
      </w:r>
      <w:r>
        <w:rPr>
          <w:color w:val="6E6158"/>
        </w:rPr>
        <w:t>2021-</w:t>
      </w:r>
      <w:r>
        <w:rPr>
          <w:color w:val="6E6158"/>
          <w:spacing w:val="-4"/>
        </w:rPr>
        <w:t>2022</w:t>
      </w:r>
    </w:p>
    <w:p>
      <w:pPr>
        <w:pStyle w:val="BodyText"/>
        <w:spacing w:before="173"/>
        <w:ind w:left="343"/>
      </w:pPr>
      <w:r>
        <w:rPr>
          <w:color w:val="6E6158"/>
        </w:rPr>
        <w:t>Program</w:t>
      </w:r>
      <w:r>
        <w:rPr>
          <w:color w:val="6E6158"/>
          <w:spacing w:val="11"/>
        </w:rPr>
        <w:t> </w:t>
      </w:r>
      <w:r>
        <w:rPr>
          <w:color w:val="6E6158"/>
        </w:rPr>
        <w:t>Co-Chair,</w:t>
      </w:r>
      <w:r>
        <w:rPr>
          <w:color w:val="6E6158"/>
          <w:spacing w:val="12"/>
        </w:rPr>
        <w:t> </w:t>
      </w:r>
      <w:r>
        <w:rPr>
          <w:color w:val="6E6158"/>
        </w:rPr>
        <w:t>2022-</w:t>
      </w:r>
      <w:r>
        <w:rPr>
          <w:color w:val="6E6158"/>
          <w:spacing w:val="-4"/>
        </w:rPr>
        <w:t>2023</w:t>
      </w:r>
    </w:p>
    <w:p>
      <w:pPr>
        <w:pStyle w:val="BodyText"/>
        <w:spacing w:before="183"/>
        <w:ind w:left="343"/>
      </w:pPr>
      <w:r>
        <w:rPr>
          <w:color w:val="6E6158"/>
        </w:rPr>
        <w:t>Social</w:t>
      </w:r>
      <w:r>
        <w:rPr>
          <w:color w:val="6E6158"/>
          <w:spacing w:val="9"/>
        </w:rPr>
        <w:t> </w:t>
      </w:r>
      <w:r>
        <w:rPr>
          <w:color w:val="6E6158"/>
        </w:rPr>
        <w:t>Co-Chair,</w:t>
      </w:r>
      <w:r>
        <w:rPr>
          <w:color w:val="6E6158"/>
          <w:spacing w:val="10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2024</w:t>
      </w:r>
    </w:p>
    <w:p>
      <w:pPr>
        <w:pStyle w:val="BodyText"/>
        <w:spacing w:line="420" w:lineRule="auto" w:before="173"/>
        <w:ind w:left="99" w:right="3417"/>
      </w:pPr>
      <w:r>
        <w:rPr>
          <w:color w:val="6E6158"/>
        </w:rPr>
        <w:t>Board Member at Large, Barristers Club of </w:t>
      </w:r>
      <w:r>
        <w:rPr>
          <w:color w:val="6E6158"/>
        </w:rPr>
        <w:t>Sacramento Member, Women Lawyers of Sacramento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Anthony</w:t>
      </w:r>
      <w:r>
        <w:rPr>
          <w:color w:val="6E6158"/>
          <w:spacing w:val="10"/>
        </w:rPr>
        <w:t> </w:t>
      </w:r>
      <w:r>
        <w:rPr>
          <w:color w:val="6E6158"/>
        </w:rPr>
        <w:t>M.</w:t>
      </w:r>
      <w:r>
        <w:rPr>
          <w:color w:val="6E6158"/>
          <w:spacing w:val="10"/>
        </w:rPr>
        <w:t> </w:t>
      </w:r>
      <w:r>
        <w:rPr>
          <w:color w:val="6E6158"/>
        </w:rPr>
        <w:t>Kennedy</w:t>
      </w:r>
      <w:r>
        <w:rPr>
          <w:color w:val="6E6158"/>
          <w:spacing w:val="11"/>
        </w:rPr>
        <w:t> </w:t>
      </w:r>
      <w:r>
        <w:rPr>
          <w:color w:val="6E6158"/>
        </w:rPr>
        <w:t>Inns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82"/>
        <w:ind w:left="99"/>
      </w:pPr>
      <w:r>
        <w:rPr>
          <w:color w:val="6E6158"/>
        </w:rPr>
        <w:t>Co-Chair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54th</w:t>
      </w:r>
      <w:r>
        <w:rPr>
          <w:color w:val="6E6158"/>
          <w:spacing w:val="9"/>
        </w:rPr>
        <w:t> </w:t>
      </w:r>
      <w:r>
        <w:rPr>
          <w:color w:val="6E6158"/>
        </w:rPr>
        <w:t>Annual</w:t>
      </w:r>
      <w:r>
        <w:rPr>
          <w:color w:val="6E6158"/>
          <w:spacing w:val="9"/>
        </w:rPr>
        <w:t> </w:t>
      </w:r>
      <w:r>
        <w:rPr>
          <w:color w:val="6E6158"/>
        </w:rPr>
        <w:t>CalCPA</w:t>
      </w:r>
      <w:r>
        <w:rPr>
          <w:color w:val="6E6158"/>
          <w:spacing w:val="9"/>
        </w:rPr>
        <w:t> </w:t>
      </w:r>
      <w:r>
        <w:rPr>
          <w:color w:val="6E6158"/>
        </w:rPr>
        <w:t>Golf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Tournament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jharm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 Harmon - Fennemore</dc:title>
  <dcterms:created xsi:type="dcterms:W3CDTF">2026-06-12T09:54:39Z</dcterms:created>
  <dcterms:modified xsi:type="dcterms:W3CDTF">2026-06-12T09:54:39Z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