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ssJohn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3620" y="1369338"/>
                            <a:ext cx="17780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320675">
                                <a:moveTo>
                                  <a:pt x="177755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7555" y="320382"/>
                                </a:lnTo>
                                <a:lnTo>
                                  <a:pt x="1777555" y="315214"/>
                                </a:lnTo>
                                <a:close/>
                              </a:path>
                              <a:path w="1778000" h="320675">
                                <a:moveTo>
                                  <a:pt x="1777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7555" y="5168"/>
                                </a:lnTo>
                                <a:lnTo>
                                  <a:pt x="1777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JOHNSON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602.916.5353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jjohnson@fennemorelaw.com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essJohnso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9;top:2156;width:2800;height:505" id="docshape5" coordorigin="5769,2156" coordsize="2800,505" path="m8569,2653l5769,2653,5769,2661,8569,2661,8569,2653xm8569,2156l5769,2156,5769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JOHNSON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7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602.916.5353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jjohnson@fennemorelaw.com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FF8100"/>
        </w:rPr>
        <w:t>JESS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JOHNSON</w:t>
      </w:r>
    </w:p>
    <w:p>
      <w:pPr>
        <w:pStyle w:val="BodyText"/>
        <w:spacing w:line="302" w:lineRule="auto" w:before="147"/>
        <w:ind w:right="744"/>
      </w:pPr>
      <w:r>
        <w:rPr>
          <w:color w:val="6E6158"/>
        </w:rPr>
        <w:t>Jess Johnson is an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 where she </w:t>
      </w:r>
      <w:r>
        <w:rPr>
          <w:color w:val="6E6158"/>
        </w:rPr>
        <w:t>assists</w:t>
      </w:r>
      <w:r>
        <w:rPr>
          <w:color w:val="6E6158"/>
          <w:spacing w:val="40"/>
        </w:rPr>
        <w:t> </w:t>
      </w:r>
      <w:r>
        <w:rPr>
          <w:color w:val="6E6158"/>
        </w:rPr>
        <w:t>clients with business and construction litigation matters.</w:t>
      </w:r>
    </w:p>
    <w:p>
      <w:pPr>
        <w:pStyle w:val="BodyText"/>
        <w:spacing w:line="297" w:lineRule="auto" w:before="186"/>
        <w:ind w:right="739"/>
      </w:pPr>
      <w:r>
        <w:rPr>
          <w:color w:val="6E6158"/>
        </w:rPr>
        <w:t>Prior to joining Fennemore, Jess earned her law degree from The George Washington University</w:t>
      </w:r>
      <w:r>
        <w:rPr>
          <w:color w:val="6E6158"/>
          <w:spacing w:val="40"/>
        </w:rPr>
        <w:t> </w:t>
      </w:r>
      <w:r>
        <w:rPr>
          <w:color w:val="6E6158"/>
        </w:rPr>
        <w:t>Law School, concentrating in Government Procurement Law. She completed her</w:t>
      </w:r>
      <w:r>
        <w:rPr>
          <w:color w:val="6E6158"/>
          <w:spacing w:val="80"/>
        </w:rPr>
        <w:t> </w:t>
      </w:r>
      <w:r>
        <w:rPr>
          <w:color w:val="6E6158"/>
        </w:rPr>
        <w:t>undergraduate</w:t>
      </w:r>
      <w:r>
        <w:rPr>
          <w:color w:val="6E6158"/>
          <w:spacing w:val="35"/>
        </w:rPr>
        <w:t> </w:t>
      </w:r>
      <w:r>
        <w:rPr>
          <w:color w:val="6E6158"/>
        </w:rPr>
        <w:t>studies</w:t>
      </w:r>
      <w:r>
        <w:rPr>
          <w:color w:val="6E6158"/>
          <w:spacing w:val="35"/>
        </w:rPr>
        <w:t> </w:t>
      </w:r>
      <w:r>
        <w:rPr>
          <w:color w:val="6E6158"/>
        </w:rPr>
        <w:t>at</w:t>
      </w:r>
      <w:r>
        <w:rPr>
          <w:color w:val="6E6158"/>
          <w:spacing w:val="35"/>
        </w:rPr>
        <w:t> </w:t>
      </w:r>
      <w:r>
        <w:rPr>
          <w:color w:val="6E6158"/>
        </w:rPr>
        <w:t>Barrett,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Honors</w:t>
      </w:r>
      <w:r>
        <w:rPr>
          <w:color w:val="6E6158"/>
          <w:spacing w:val="35"/>
        </w:rPr>
        <w:t> </w:t>
      </w:r>
      <w:r>
        <w:rPr>
          <w:color w:val="6E6158"/>
        </w:rPr>
        <w:t>College</w:t>
      </w:r>
      <w:r>
        <w:rPr>
          <w:color w:val="6E6158"/>
          <w:spacing w:val="35"/>
        </w:rPr>
        <w:t> </w:t>
      </w:r>
      <w:r>
        <w:rPr>
          <w:color w:val="6E6158"/>
        </w:rPr>
        <w:t>at</w:t>
      </w:r>
      <w:r>
        <w:rPr>
          <w:color w:val="6E6158"/>
          <w:spacing w:val="35"/>
        </w:rPr>
        <w:t> </w:t>
      </w:r>
      <w:r>
        <w:rPr>
          <w:color w:val="6E6158"/>
        </w:rPr>
        <w:t>Arizona</w:t>
      </w:r>
      <w:r>
        <w:rPr>
          <w:color w:val="6E6158"/>
          <w:spacing w:val="35"/>
        </w:rPr>
        <w:t> </w:t>
      </w:r>
      <w:r>
        <w:rPr>
          <w:color w:val="6E6158"/>
        </w:rPr>
        <w:t>State</w:t>
      </w:r>
      <w:r>
        <w:rPr>
          <w:color w:val="6E6158"/>
          <w:spacing w:val="35"/>
        </w:rPr>
        <w:t> </w:t>
      </w:r>
      <w:r>
        <w:rPr>
          <w:color w:val="6E6158"/>
        </w:rPr>
        <w:t>University,</w:t>
      </w:r>
      <w:r>
        <w:rPr>
          <w:color w:val="6E6158"/>
          <w:spacing w:val="35"/>
        </w:rPr>
        <w:t> </w:t>
      </w:r>
      <w:r>
        <w:rPr>
          <w:color w:val="6E6158"/>
        </w:rPr>
        <w:t>graduating</w:t>
      </w:r>
    </w:p>
    <w:p>
      <w:pPr>
        <w:pStyle w:val="BodyText"/>
        <w:spacing w:line="231" w:lineRule="exact"/>
      </w:pP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</w:rPr>
        <w:t>with</w:t>
      </w:r>
      <w:r>
        <w:rPr>
          <w:color w:val="6E6158"/>
          <w:spacing w:val="5"/>
        </w:rPr>
        <w:t> </w:t>
      </w:r>
      <w:r>
        <w:rPr>
          <w:color w:val="6E6158"/>
        </w:rPr>
        <w:t>a</w:t>
      </w:r>
      <w:r>
        <w:rPr>
          <w:color w:val="6E6158"/>
          <w:spacing w:val="4"/>
        </w:rPr>
        <w:t> </w:t>
      </w:r>
      <w:r>
        <w:rPr>
          <w:color w:val="6E6158"/>
        </w:rPr>
        <w:t>degree</w:t>
      </w:r>
      <w:r>
        <w:rPr>
          <w:color w:val="6E6158"/>
          <w:spacing w:val="5"/>
        </w:rPr>
        <w:t> </w:t>
      </w:r>
      <w:r>
        <w:rPr>
          <w:color w:val="6E6158"/>
        </w:rPr>
        <w:t>in</w:t>
      </w:r>
      <w:r>
        <w:rPr>
          <w:color w:val="6E6158"/>
          <w:spacing w:val="4"/>
        </w:rPr>
        <w:t> </w:t>
      </w:r>
      <w:r>
        <w:rPr>
          <w:color w:val="6E6158"/>
        </w:rPr>
        <w:t>History</w:t>
      </w:r>
      <w:r>
        <w:rPr>
          <w:color w:val="6E6158"/>
          <w:spacing w:val="5"/>
        </w:rPr>
        <w:t> </w:t>
      </w:r>
      <w:r>
        <w:rPr>
          <w:color w:val="6E6158"/>
        </w:rPr>
        <w:t>and</w:t>
      </w:r>
      <w:r>
        <w:rPr>
          <w:color w:val="6E6158"/>
          <w:spacing w:val="4"/>
        </w:rPr>
        <w:t> </w:t>
      </w:r>
      <w:r>
        <w:rPr>
          <w:color w:val="6E6158"/>
        </w:rPr>
        <w:t>Global</w:t>
      </w:r>
      <w:r>
        <w:rPr>
          <w:color w:val="6E6158"/>
          <w:spacing w:val="5"/>
        </w:rPr>
        <w:t> </w:t>
      </w:r>
      <w:r>
        <w:rPr>
          <w:color w:val="6E6158"/>
        </w:rPr>
        <w:t>Studies,</w:t>
      </w:r>
      <w:r>
        <w:rPr>
          <w:color w:val="6E6158"/>
          <w:spacing w:val="4"/>
        </w:rPr>
        <w:t> </w:t>
      </w:r>
      <w:r>
        <w:rPr>
          <w:color w:val="6E6158"/>
        </w:rPr>
        <w:t>as</w:t>
      </w:r>
      <w:r>
        <w:rPr>
          <w:color w:val="6E6158"/>
          <w:spacing w:val="5"/>
        </w:rPr>
        <w:t> </w:t>
      </w:r>
      <w:r>
        <w:rPr>
          <w:color w:val="6E6158"/>
        </w:rPr>
        <w:t>well</w:t>
      </w:r>
      <w:r>
        <w:rPr>
          <w:color w:val="6E6158"/>
          <w:spacing w:val="4"/>
        </w:rPr>
        <w:t> </w:t>
      </w:r>
      <w:r>
        <w:rPr>
          <w:color w:val="6E6158"/>
        </w:rPr>
        <w:t>as</w:t>
      </w:r>
      <w:r>
        <w:rPr>
          <w:color w:val="6E6158"/>
          <w:spacing w:val="5"/>
        </w:rPr>
        <w:t> </w:t>
      </w:r>
      <w:r>
        <w:rPr>
          <w:color w:val="6E6158"/>
        </w:rPr>
        <w:t>a</w:t>
      </w:r>
      <w:r>
        <w:rPr>
          <w:color w:val="6E6158"/>
          <w:spacing w:val="4"/>
        </w:rPr>
        <w:t> </w:t>
      </w:r>
      <w:r>
        <w:rPr>
          <w:color w:val="6E6158"/>
        </w:rPr>
        <w:t>certificate</w:t>
      </w:r>
      <w:r>
        <w:rPr>
          <w:color w:val="6E6158"/>
          <w:spacing w:val="5"/>
        </w:rPr>
        <w:t> </w:t>
      </w:r>
      <w:r>
        <w:rPr>
          <w:color w:val="6E6158"/>
        </w:rPr>
        <w:t>in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Political</w:t>
      </w:r>
    </w:p>
    <w:p>
      <w:pPr>
        <w:pStyle w:val="BodyText"/>
        <w:spacing w:before="49"/>
      </w:pPr>
      <w:r>
        <w:rPr>
          <w:color w:val="6E6158"/>
        </w:rPr>
        <w:t>History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Leadership.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right="739"/>
      </w:pPr>
      <w:r>
        <w:rPr>
          <w:color w:val="6E6158"/>
        </w:rPr>
        <w:t>Her diverse internships have provided her with a well-rounded understanding of judicial</w:t>
      </w:r>
      <w:r>
        <w:rPr>
          <w:color w:val="6E6158"/>
          <w:spacing w:val="40"/>
        </w:rPr>
        <w:t> </w:t>
      </w:r>
      <w:r>
        <w:rPr>
          <w:color w:val="6E6158"/>
        </w:rPr>
        <w:t>processes at both the local and federal levels. She has interned with the Maricopa County</w:t>
      </w:r>
      <w:r>
        <w:rPr>
          <w:color w:val="6E6158"/>
          <w:spacing w:val="40"/>
        </w:rPr>
        <w:t> </w:t>
      </w:r>
      <w:r>
        <w:rPr>
          <w:color w:val="6E6158"/>
        </w:rPr>
        <w:t>Superior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16th</w:t>
      </w:r>
      <w:r>
        <w:rPr>
          <w:color w:val="6E6158"/>
          <w:spacing w:val="11"/>
        </w:rPr>
        <w:t> </w:t>
      </w:r>
      <w:r>
        <w:rPr>
          <w:color w:val="6E6158"/>
        </w:rPr>
        <w:t>Judicial</w:t>
      </w:r>
      <w:r>
        <w:rPr>
          <w:color w:val="6E6158"/>
          <w:spacing w:val="11"/>
        </w:rPr>
        <w:t> </w:t>
      </w:r>
      <w:r>
        <w:rPr>
          <w:color w:val="6E6158"/>
        </w:rPr>
        <w:t>Circuit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Virginia,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Civilian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Contract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line="297" w:lineRule="auto" w:before="191"/>
        <w:ind w:right="323"/>
      </w:pPr>
      <w:r>
        <w:rPr>
          <w:color w:val="6E6158"/>
        </w:rPr>
        <w:t>Jess also brings a unique perspective on the challenges contractors and business owners face,</w:t>
      </w:r>
      <w:r>
        <w:rPr>
          <w:color w:val="6E6158"/>
          <w:spacing w:val="40"/>
        </w:rPr>
        <w:t> </w:t>
      </w:r>
      <w:r>
        <w:rPr>
          <w:color w:val="6E6158"/>
        </w:rPr>
        <w:t>having worked in-house for one of the nation’s largest specialty contractors, where she </w:t>
      </w:r>
      <w:r>
        <w:rPr>
          <w:color w:val="6E6158"/>
        </w:rPr>
        <w:t>provided</w:t>
      </w:r>
      <w:r>
        <w:rPr>
          <w:color w:val="6E6158"/>
          <w:spacing w:val="40"/>
        </w:rPr>
        <w:t> </w:t>
      </w:r>
      <w:r>
        <w:rPr>
          <w:color w:val="6E6158"/>
        </w:rPr>
        <w:t>legal and regulatory compliance guidance.</w:t>
      </w:r>
    </w:p>
    <w:p>
      <w:pPr>
        <w:pStyle w:val="BodyText"/>
        <w:spacing w:before="191"/>
      </w:pPr>
      <w:r>
        <w:rPr>
          <w:color w:val="6E6158"/>
        </w:rPr>
        <w:t>A</w:t>
      </w:r>
      <w:r>
        <w:rPr>
          <w:color w:val="6E6158"/>
          <w:spacing w:val="6"/>
        </w:rPr>
        <w:t> </w:t>
      </w:r>
      <w:r>
        <w:rPr>
          <w:color w:val="6E6158"/>
        </w:rPr>
        <w:t>native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Prescott,</w:t>
      </w:r>
      <w:r>
        <w:rPr>
          <w:color w:val="6E6158"/>
          <w:spacing w:val="6"/>
        </w:rPr>
        <w:t> </w:t>
      </w:r>
      <w:r>
        <w:rPr>
          <w:color w:val="6E6158"/>
        </w:rPr>
        <w:t>Arizona,</w:t>
      </w:r>
      <w:r>
        <w:rPr>
          <w:color w:val="6E6158"/>
          <w:spacing w:val="6"/>
        </w:rPr>
        <w:t> </w:t>
      </w:r>
      <w:r>
        <w:rPr>
          <w:color w:val="6E6158"/>
        </w:rPr>
        <w:t>Jess</w:t>
      </w:r>
      <w:r>
        <w:rPr>
          <w:color w:val="6E6158"/>
          <w:spacing w:val="6"/>
        </w:rPr>
        <w:t> </w:t>
      </w:r>
      <w:r>
        <w:rPr>
          <w:color w:val="6E6158"/>
        </w:rPr>
        <w:t>is</w:t>
      </w:r>
      <w:r>
        <w:rPr>
          <w:color w:val="6E6158"/>
          <w:spacing w:val="6"/>
        </w:rPr>
        <w:t> </w:t>
      </w:r>
      <w:r>
        <w:rPr>
          <w:color w:val="6E6158"/>
        </w:rPr>
        <w:t>an</w:t>
      </w:r>
      <w:r>
        <w:rPr>
          <w:color w:val="6E6158"/>
          <w:spacing w:val="6"/>
        </w:rPr>
        <w:t> </w:t>
      </w:r>
      <w:r>
        <w:rPr>
          <w:color w:val="6E6158"/>
        </w:rPr>
        <w:t>avid</w:t>
      </w:r>
      <w:r>
        <w:rPr>
          <w:color w:val="6E6158"/>
          <w:spacing w:val="6"/>
        </w:rPr>
        <w:t> </w:t>
      </w:r>
      <w:r>
        <w:rPr>
          <w:color w:val="6E6158"/>
        </w:rPr>
        <w:t>hiker,</w:t>
      </w:r>
      <w:r>
        <w:rPr>
          <w:color w:val="6E6158"/>
          <w:spacing w:val="6"/>
        </w:rPr>
        <w:t> </w:t>
      </w:r>
      <w:r>
        <w:rPr>
          <w:color w:val="6E6158"/>
        </w:rPr>
        <w:t>traveler,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foodie.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03" w:lineRule="auto"/>
        <w:ind w:left="343" w:right="3738" w:hanging="190"/>
      </w:pPr>
      <w:r>
        <w:rPr>
          <w:color w:val="6E6158"/>
        </w:rPr>
        <w:t>J.D., The George Washington University Law </w:t>
      </w:r>
      <w:r>
        <w:rPr>
          <w:color w:val="6E6158"/>
        </w:rPr>
        <w:t>School</w:t>
      </w:r>
      <w:r>
        <w:rPr>
          <w:color w:val="6E6158"/>
        </w:rPr>
        <w:t> Government Procurement Law Concentration</w:t>
      </w:r>
    </w:p>
    <w:p>
      <w:pPr>
        <w:pStyle w:val="BodyText"/>
        <w:spacing w:line="408" w:lineRule="auto" w:before="15"/>
        <w:ind w:right="1740"/>
        <w:rPr>
          <w:i/>
          <w:sz w:val="20"/>
        </w:rPr>
      </w:pPr>
      <w:r>
        <w:rPr>
          <w:color w:val="6E6158"/>
        </w:rPr>
        <w:t>GW-Oxford International Human Rights Law Summer Program, University of </w:t>
      </w:r>
      <w:r>
        <w:rPr>
          <w:color w:val="6E6158"/>
        </w:rPr>
        <w:t>Oxford B.A., Barrett, The Honors College at Arizona State University, </w:t>
      </w:r>
      <w:r>
        <w:rPr>
          <w:i/>
          <w:color w:val="6E6158"/>
          <w:sz w:val="20"/>
        </w:rPr>
        <w:t>summa cum laude</w:t>
      </w:r>
    </w:p>
    <w:p>
      <w:pPr>
        <w:pStyle w:val="Heading1"/>
        <w:spacing w:before="28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686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26" w:lineRule="exact"/>
      </w:pP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after="0" w:line="226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1740"/>
      </w:pPr>
      <w:r>
        <w:rPr>
          <w:color w:val="6E6158"/>
        </w:rPr>
        <w:t>Dean’s Recognition for Professional Development, The George Washington </w:t>
      </w:r>
      <w:r>
        <w:rPr>
          <w:color w:val="6E6158"/>
        </w:rPr>
        <w:t>University Pro Bono Honors Recipient, The George Washington University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john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 Johnson - Fennemore</dc:title>
  <dcterms:created xsi:type="dcterms:W3CDTF">2026-06-12T09:36:31Z</dcterms:created>
  <dcterms:modified xsi:type="dcterms:W3CDTF">2026-06-12T09:36:31Z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