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11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ohn A. Ferguson, Jr.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63059" y="763308"/>
                            <a:ext cx="17938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JOHN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A.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FERGUSON,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JR.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50033" y="2133494"/>
                            <a:ext cx="6203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85056" y="2500373"/>
                            <a:ext cx="15500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jferguson@fennemorelaw.com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John A. Ferguson, Jr.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04;top:-3887;width:2825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JOHN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A.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FERGUSON,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JR.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29;top:-1729;width:977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210.447.8036</w:t>
                        </w:r>
                      </w:p>
                    </w:txbxContent>
                  </v:textbox>
                  <w10:wrap type="none"/>
                </v:shape>
                <v:shape style="position:absolute;left:7296;top:-1151;width:244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jferguson@fennemorelaw.com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JOHN</w:t>
      </w:r>
      <w:r>
        <w:rPr>
          <w:color w:val="FF8100"/>
          <w:spacing w:val="8"/>
        </w:rPr>
        <w:t> </w:t>
      </w:r>
      <w:r>
        <w:rPr>
          <w:color w:val="FF8100"/>
        </w:rPr>
        <w:t>A.</w:t>
      </w:r>
      <w:r>
        <w:rPr>
          <w:color w:val="FF8100"/>
          <w:spacing w:val="8"/>
        </w:rPr>
        <w:t> </w:t>
      </w:r>
      <w:r>
        <w:rPr>
          <w:color w:val="FF8100"/>
        </w:rPr>
        <w:t>FERGUSON,</w:t>
      </w:r>
      <w:r>
        <w:rPr>
          <w:color w:val="FF8100"/>
          <w:spacing w:val="9"/>
        </w:rPr>
        <w:t> </w:t>
      </w:r>
      <w:r>
        <w:rPr>
          <w:color w:val="FF8100"/>
          <w:spacing w:val="-5"/>
        </w:rPr>
        <w:t>JR.</w:t>
      </w:r>
    </w:p>
    <w:p>
      <w:pPr>
        <w:pStyle w:val="BodyText"/>
        <w:spacing w:line="295" w:lineRule="auto" w:before="146"/>
        <w:ind w:right="106"/>
      </w:pPr>
      <w:r>
        <w:rPr>
          <w:color w:val="6E6158"/>
        </w:rPr>
        <w:t>John</w:t>
      </w:r>
      <w:r>
        <w:rPr>
          <w:color w:val="6E6158"/>
          <w:spacing w:val="20"/>
        </w:rPr>
        <w:t> </w:t>
      </w:r>
      <w:r>
        <w:rPr>
          <w:color w:val="6E6158"/>
        </w:rPr>
        <w:t>A.</w:t>
      </w:r>
      <w:r>
        <w:rPr>
          <w:color w:val="6E6158"/>
          <w:spacing w:val="20"/>
        </w:rPr>
        <w:t> </w:t>
      </w:r>
      <w:r>
        <w:rPr>
          <w:color w:val="6E6158"/>
        </w:rPr>
        <w:t>Ferguson,</w:t>
      </w:r>
      <w:r>
        <w:rPr>
          <w:color w:val="6E6158"/>
          <w:spacing w:val="20"/>
        </w:rPr>
        <w:t> </w:t>
      </w:r>
      <w:r>
        <w:rPr>
          <w:color w:val="6E6158"/>
        </w:rPr>
        <w:t>Jr.</w:t>
      </w:r>
      <w:r>
        <w:rPr>
          <w:color w:val="6E6158"/>
          <w:spacing w:val="20"/>
        </w:rPr>
        <w:t> </w:t>
      </w:r>
      <w:r>
        <w:rPr>
          <w:color w:val="6E6158"/>
        </w:rPr>
        <w:t>is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San</w:t>
      </w:r>
      <w:r>
        <w:rPr>
          <w:color w:val="6E6158"/>
          <w:spacing w:val="20"/>
        </w:rPr>
        <w:t> </w:t>
      </w:r>
      <w:r>
        <w:rPr>
          <w:color w:val="6E6158"/>
        </w:rPr>
        <w:t>Antonio-based</w:t>
      </w:r>
      <w:r>
        <w:rPr>
          <w:color w:val="6E6158"/>
          <w:spacing w:val="20"/>
        </w:rPr>
        <w:t> </w:t>
      </w:r>
      <w:r>
        <w:rPr>
          <w:color w:val="6E6158"/>
        </w:rPr>
        <w:t>employment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labor</w:t>
      </w:r>
      <w:r>
        <w:rPr>
          <w:color w:val="6E6158"/>
          <w:spacing w:val="20"/>
        </w:rPr>
        <w:t> </w:t>
      </w:r>
      <w:r>
        <w:rPr>
          <w:color w:val="6E6158"/>
        </w:rPr>
        <w:t>attorney</w:t>
      </w:r>
      <w:r>
        <w:rPr>
          <w:color w:val="6E6158"/>
          <w:spacing w:val="20"/>
        </w:rPr>
        <w:t> </w:t>
      </w:r>
      <w:r>
        <w:rPr>
          <w:color w:val="6E6158"/>
        </w:rPr>
        <w:t>with</w:t>
      </w:r>
      <w:r>
        <w:rPr>
          <w:color w:val="6E6158"/>
          <w:spacing w:val="20"/>
        </w:rPr>
        <w:t> </w:t>
      </w:r>
      <w:r>
        <w:rPr>
          <w:color w:val="6E6158"/>
        </w:rPr>
        <w:t>over</w:t>
      </w:r>
      <w:r>
        <w:rPr>
          <w:color w:val="6E6158"/>
          <w:spacing w:val="20"/>
        </w:rPr>
        <w:t> </w:t>
      </w:r>
      <w:r>
        <w:rPr>
          <w:color w:val="6E6158"/>
        </w:rPr>
        <w:t>39</w:t>
      </w:r>
      <w:r>
        <w:rPr>
          <w:color w:val="6E6158"/>
          <w:spacing w:val="20"/>
        </w:rPr>
        <w:t> </w:t>
      </w:r>
      <w:r>
        <w:rPr>
          <w:color w:val="6E6158"/>
        </w:rPr>
        <w:t>years of experience representing employers in traditional labor relations law under the National Labor</w:t>
      </w:r>
      <w:r>
        <w:rPr>
          <w:color w:val="6E6158"/>
          <w:spacing w:val="40"/>
        </w:rPr>
        <w:t> </w:t>
      </w:r>
      <w:r>
        <w:rPr>
          <w:color w:val="6E6158"/>
        </w:rPr>
        <w:t>Relations</w:t>
      </w:r>
      <w:r>
        <w:rPr>
          <w:color w:val="6E6158"/>
          <w:spacing w:val="25"/>
        </w:rPr>
        <w:t> </w:t>
      </w:r>
      <w:r>
        <w:rPr>
          <w:color w:val="6E6158"/>
        </w:rPr>
        <w:t>Act</w:t>
      </w:r>
      <w:r>
        <w:rPr>
          <w:color w:val="6E6158"/>
          <w:spacing w:val="25"/>
        </w:rPr>
        <w:t> </w:t>
      </w:r>
      <w:r>
        <w:rPr>
          <w:color w:val="6E6158"/>
        </w:rPr>
        <w:t>(NLRA).</w:t>
      </w:r>
      <w:r>
        <w:rPr>
          <w:color w:val="6E6158"/>
          <w:spacing w:val="25"/>
        </w:rPr>
        <w:t> </w:t>
      </w:r>
      <w:r>
        <w:rPr>
          <w:color w:val="6E6158"/>
        </w:rPr>
        <w:t>John</w:t>
      </w:r>
      <w:r>
        <w:rPr>
          <w:color w:val="6E6158"/>
          <w:spacing w:val="25"/>
        </w:rPr>
        <w:t> </w:t>
      </w:r>
      <w:r>
        <w:rPr>
          <w:color w:val="6E6158"/>
        </w:rPr>
        <w:t>is</w:t>
      </w:r>
      <w:r>
        <w:rPr>
          <w:color w:val="6E6158"/>
          <w:spacing w:val="25"/>
        </w:rPr>
        <w:t> </w:t>
      </w:r>
      <w:r>
        <w:rPr>
          <w:color w:val="6E6158"/>
        </w:rPr>
        <w:t>Board</w:t>
      </w:r>
      <w:r>
        <w:rPr>
          <w:color w:val="6E6158"/>
          <w:spacing w:val="25"/>
        </w:rPr>
        <w:t> </w:t>
      </w:r>
      <w:r>
        <w:rPr>
          <w:color w:val="6E6158"/>
        </w:rPr>
        <w:t>Certified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Labor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Employment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by</w:t>
      </w:r>
      <w:r>
        <w:rPr>
          <w:color w:val="6E6158"/>
          <w:spacing w:val="25"/>
        </w:rPr>
        <w:t> </w:t>
      </w:r>
      <w:r>
        <w:rPr>
          <w:color w:val="6E6158"/>
        </w:rPr>
        <w:t>the</w:t>
      </w:r>
      <w:r>
        <w:rPr>
          <w:color w:val="6E6158"/>
          <w:spacing w:val="25"/>
        </w:rPr>
        <w:t> </w:t>
      </w:r>
      <w:r>
        <w:rPr>
          <w:color w:val="6E6158"/>
        </w:rPr>
        <w:t>Texas</w:t>
      </w:r>
      <w:r>
        <w:rPr>
          <w:color w:val="6E6158"/>
          <w:spacing w:val="25"/>
        </w:rPr>
        <w:t> </w:t>
      </w:r>
      <w:r>
        <w:rPr>
          <w:color w:val="6E6158"/>
        </w:rPr>
        <w:t>Board of Legal Specialization. His practice includes litigation, arbitration, and management </w:t>
      </w:r>
      <w:r>
        <w:rPr>
          <w:color w:val="6E6158"/>
        </w:rPr>
        <w:t>counseling,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a</w:t>
      </w:r>
      <w:r>
        <w:rPr>
          <w:color w:val="6E6158"/>
          <w:spacing w:val="33"/>
        </w:rPr>
        <w:t> </w:t>
      </w:r>
      <w:r>
        <w:rPr>
          <w:color w:val="6E6158"/>
        </w:rPr>
        <w:t>focus</w:t>
      </w:r>
      <w:r>
        <w:rPr>
          <w:color w:val="6E6158"/>
          <w:spacing w:val="33"/>
        </w:rPr>
        <w:t> </w:t>
      </w:r>
      <w:r>
        <w:rPr>
          <w:color w:val="6E6158"/>
        </w:rPr>
        <w:t>on</w:t>
      </w:r>
      <w:r>
        <w:rPr>
          <w:color w:val="6E6158"/>
          <w:spacing w:val="33"/>
        </w:rPr>
        <w:t> </w:t>
      </w:r>
      <w:r>
        <w:rPr>
          <w:color w:val="6E6158"/>
        </w:rPr>
        <w:t>helping</w:t>
      </w:r>
      <w:r>
        <w:rPr>
          <w:color w:val="6E6158"/>
          <w:spacing w:val="33"/>
        </w:rPr>
        <w:t> </w:t>
      </w:r>
      <w:r>
        <w:rPr>
          <w:color w:val="6E6158"/>
        </w:rPr>
        <w:t>businesses</w:t>
      </w:r>
      <w:r>
        <w:rPr>
          <w:color w:val="6E6158"/>
          <w:spacing w:val="33"/>
        </w:rPr>
        <w:t> </w:t>
      </w:r>
      <w:r>
        <w:rPr>
          <w:color w:val="6E6158"/>
        </w:rPr>
        <w:t>navigate</w:t>
      </w:r>
      <w:r>
        <w:rPr>
          <w:color w:val="6E6158"/>
          <w:spacing w:val="33"/>
        </w:rPr>
        <w:t> </w:t>
      </w:r>
      <w:r>
        <w:rPr>
          <w:color w:val="6E6158"/>
        </w:rPr>
        <w:t>complex</w:t>
      </w:r>
      <w:r>
        <w:rPr>
          <w:color w:val="6E6158"/>
          <w:spacing w:val="33"/>
        </w:rPr>
        <w:t> </w:t>
      </w:r>
      <w:r>
        <w:rPr>
          <w:color w:val="6E6158"/>
        </w:rPr>
        <w:t>workplace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union</w:t>
      </w:r>
      <w:r>
        <w:rPr>
          <w:color w:val="6E6158"/>
          <w:spacing w:val="33"/>
        </w:rPr>
        <w:t> </w:t>
      </w:r>
      <w:r>
        <w:rPr>
          <w:color w:val="6E6158"/>
        </w:rPr>
        <w:t>issues.</w:t>
      </w:r>
    </w:p>
    <w:p>
      <w:pPr>
        <w:pStyle w:val="BodyText"/>
        <w:spacing w:before="203"/>
      </w:pPr>
      <w:r>
        <w:rPr>
          <w:color w:val="6E6158"/>
        </w:rPr>
        <w:t>John</w:t>
      </w:r>
      <w:r>
        <w:rPr>
          <w:color w:val="6E6158"/>
          <w:spacing w:val="13"/>
        </w:rPr>
        <w:t> </w:t>
      </w:r>
      <w:r>
        <w:rPr>
          <w:color w:val="6E6158"/>
        </w:rPr>
        <w:t>represents</w:t>
      </w:r>
      <w:r>
        <w:rPr>
          <w:color w:val="6E6158"/>
          <w:spacing w:val="13"/>
        </w:rPr>
        <w:t> </w:t>
      </w:r>
      <w:r>
        <w:rPr>
          <w:color w:val="6E6158"/>
        </w:rPr>
        <w:t>employers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involving: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Collective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bargaining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agreements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negotiations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Labor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arbitrations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union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grievance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Union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representation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elections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NLRB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proceedings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0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EEOC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Department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(DOL)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investigations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Fair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Labor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Standards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(FLSA)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collective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wage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hour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disputes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Family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Medical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Leave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(FMLA)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Title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VII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2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State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employment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discrimination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7"/>
          <w:sz w:val="19"/>
        </w:rPr>
        <w:t> </w:t>
      </w:r>
      <w:r>
        <w:rPr>
          <w:color w:val="6E6158"/>
          <w:sz w:val="19"/>
        </w:rPr>
        <w:t>retaliatory</w:t>
      </w:r>
      <w:r>
        <w:rPr>
          <w:color w:val="6E6158"/>
          <w:spacing w:val="16"/>
          <w:sz w:val="19"/>
        </w:rPr>
        <w:t> </w:t>
      </w:r>
      <w:r>
        <w:rPr>
          <w:color w:val="6E6158"/>
          <w:sz w:val="19"/>
        </w:rPr>
        <w:t>discharge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claims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60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Service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Contract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Act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compliance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contractors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240" w:lineRule="auto" w:before="51" w:after="0"/>
        <w:ind w:left="270" w:right="0" w:hanging="171"/>
        <w:jc w:val="left"/>
        <w:rPr>
          <w:sz w:val="19"/>
        </w:rPr>
      </w:pPr>
      <w:r>
        <w:rPr>
          <w:color w:val="6E6158"/>
          <w:sz w:val="19"/>
        </w:rPr>
        <w:t>LMRA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Section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301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actions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court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enforce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vacate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arbitration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awards</w:t>
      </w:r>
    </w:p>
    <w:p>
      <w:pPr>
        <w:pStyle w:val="ListParagraph"/>
        <w:numPr>
          <w:ilvl w:val="0"/>
          <w:numId w:val="1"/>
        </w:numPr>
        <w:tabs>
          <w:tab w:pos="270" w:val="left" w:leader="none"/>
        </w:tabs>
        <w:spacing w:line="302" w:lineRule="auto" w:before="52" w:after="0"/>
        <w:ind w:left="99" w:right="1209" w:firstLine="0"/>
        <w:jc w:val="left"/>
        <w:rPr>
          <w:sz w:val="19"/>
        </w:rPr>
      </w:pPr>
      <w:r>
        <w:rPr>
          <w:color w:val="6E6158"/>
          <w:sz w:val="19"/>
        </w:rPr>
        <w:t>Management training on personnel policies, employee handbooks, and </w:t>
      </w:r>
      <w:r>
        <w:rPr>
          <w:color w:val="6E6158"/>
          <w:sz w:val="19"/>
        </w:rPr>
        <w:t>workplace </w:t>
      </w:r>
      <w:r>
        <w:rPr>
          <w:color w:val="6E6158"/>
          <w:spacing w:val="-2"/>
          <w:sz w:val="19"/>
        </w:rPr>
        <w:t>compliance</w:t>
      </w:r>
    </w:p>
    <w:p>
      <w:pPr>
        <w:pStyle w:val="BodyText"/>
        <w:spacing w:line="292" w:lineRule="auto" w:before="186"/>
      </w:pPr>
      <w:r>
        <w:rPr>
          <w:color w:val="6E6158"/>
        </w:rPr>
        <w:t>John has successfully tried numerous unfair labor practice complaints before the National </w:t>
      </w:r>
      <w:r>
        <w:rPr>
          <w:color w:val="6E6158"/>
        </w:rPr>
        <w:t>Labor</w:t>
      </w:r>
      <w:r>
        <w:rPr>
          <w:color w:val="6E6158"/>
          <w:spacing w:val="40"/>
        </w:rPr>
        <w:t> </w:t>
      </w:r>
      <w:r>
        <w:rPr>
          <w:color w:val="6E6158"/>
        </w:rPr>
        <w:t>Relations</w:t>
      </w:r>
      <w:r>
        <w:rPr>
          <w:color w:val="6E6158"/>
          <w:spacing w:val="31"/>
        </w:rPr>
        <w:t> </w:t>
      </w:r>
      <w:r>
        <w:rPr>
          <w:color w:val="6E6158"/>
        </w:rPr>
        <w:t>Board</w:t>
      </w:r>
      <w:r>
        <w:rPr>
          <w:color w:val="6E6158"/>
          <w:spacing w:val="31"/>
        </w:rPr>
        <w:t> </w:t>
      </w:r>
      <w:r>
        <w:rPr>
          <w:color w:val="6E6158"/>
        </w:rPr>
        <w:t>(NLRB)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represented</w:t>
      </w:r>
      <w:r>
        <w:rPr>
          <w:color w:val="6E6158"/>
          <w:spacing w:val="31"/>
        </w:rPr>
        <w:t> </w:t>
      </w:r>
      <w:r>
        <w:rPr>
          <w:color w:val="6E6158"/>
        </w:rPr>
        <w:t>employers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appeals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federal</w:t>
      </w:r>
      <w:r>
        <w:rPr>
          <w:color w:val="6E6158"/>
          <w:spacing w:val="31"/>
        </w:rPr>
        <w:t> </w:t>
      </w:r>
      <w:r>
        <w:rPr>
          <w:color w:val="6E6158"/>
        </w:rPr>
        <w:t>courts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</w:p>
    <w:p>
      <w:pPr>
        <w:pStyle w:val="BodyText"/>
        <w:spacing w:line="297" w:lineRule="auto" w:before="1"/>
        <w:ind w:right="106"/>
      </w:pPr>
      <w:r>
        <w:rPr>
          <w:color w:val="6E6158"/>
        </w:rPr>
        <w:t>appeals. He has extensive experience guiding employers through union representation </w:t>
      </w:r>
      <w:r>
        <w:rPr>
          <w:color w:val="6E6158"/>
        </w:rPr>
        <w:t>elections,</w:t>
      </w:r>
      <w:r>
        <w:rPr>
          <w:color w:val="6E6158"/>
          <w:spacing w:val="40"/>
        </w:rPr>
        <w:t> </w:t>
      </w:r>
      <w:r>
        <w:rPr>
          <w:color w:val="6E6158"/>
        </w:rPr>
        <w:t>arbitrating</w:t>
      </w:r>
      <w:r>
        <w:rPr>
          <w:color w:val="6E6158"/>
          <w:spacing w:val="33"/>
        </w:rPr>
        <w:t> </w:t>
      </w:r>
      <w:r>
        <w:rPr>
          <w:color w:val="6E6158"/>
        </w:rPr>
        <w:t>union</w:t>
      </w:r>
      <w:r>
        <w:rPr>
          <w:color w:val="6E6158"/>
          <w:spacing w:val="33"/>
        </w:rPr>
        <w:t> </w:t>
      </w:r>
      <w:r>
        <w:rPr>
          <w:color w:val="6E6158"/>
        </w:rPr>
        <w:t>grievances,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serving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lead</w:t>
      </w:r>
      <w:r>
        <w:rPr>
          <w:color w:val="6E6158"/>
          <w:spacing w:val="33"/>
        </w:rPr>
        <w:t> </w:t>
      </w:r>
      <w:r>
        <w:rPr>
          <w:color w:val="6E6158"/>
        </w:rPr>
        <w:t>negotiator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the</w:t>
      </w:r>
      <w:r>
        <w:rPr>
          <w:color w:val="6E6158"/>
          <w:spacing w:val="33"/>
        </w:rPr>
        <w:t> </w:t>
      </w:r>
      <w:r>
        <w:rPr>
          <w:color w:val="6E6158"/>
        </w:rPr>
        <w:t>negotiation</w:t>
      </w:r>
      <w:r>
        <w:rPr>
          <w:color w:val="6E6158"/>
          <w:spacing w:val="33"/>
        </w:rPr>
        <w:t> </w:t>
      </w:r>
      <w:r>
        <w:rPr>
          <w:color w:val="6E6158"/>
        </w:rPr>
        <w:t>and renegotiation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collective</w:t>
      </w:r>
      <w:r>
        <w:rPr>
          <w:color w:val="6E6158"/>
          <w:spacing w:val="21"/>
        </w:rPr>
        <w:t> </w:t>
      </w:r>
      <w:r>
        <w:rPr>
          <w:color w:val="6E6158"/>
        </w:rPr>
        <w:t>bargaining</w:t>
      </w:r>
      <w:r>
        <w:rPr>
          <w:color w:val="6E6158"/>
          <w:spacing w:val="21"/>
        </w:rPr>
        <w:t> </w:t>
      </w:r>
      <w:r>
        <w:rPr>
          <w:color w:val="6E6158"/>
        </w:rPr>
        <w:t>agreements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both</w:t>
      </w:r>
      <w:r>
        <w:rPr>
          <w:color w:val="6E6158"/>
          <w:spacing w:val="21"/>
        </w:rPr>
        <w:t> </w:t>
      </w:r>
      <w:r>
        <w:rPr>
          <w:color w:val="6E6158"/>
        </w:rPr>
        <w:t>private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public</w:t>
      </w:r>
      <w:r>
        <w:rPr>
          <w:color w:val="6E6158"/>
          <w:spacing w:val="21"/>
        </w:rPr>
        <w:t> </w:t>
      </w:r>
      <w:r>
        <w:rPr>
          <w:color w:val="6E6158"/>
        </w:rPr>
        <w:t>sector</w:t>
      </w:r>
      <w:r>
        <w:rPr>
          <w:color w:val="6E6158"/>
          <w:spacing w:val="21"/>
        </w:rPr>
        <w:t> </w:t>
      </w:r>
      <w:r>
        <w:rPr>
          <w:color w:val="6E6158"/>
        </w:rPr>
        <w:t>employers.</w:t>
      </w:r>
    </w:p>
    <w:p>
      <w:pPr>
        <w:pStyle w:val="BodyText"/>
        <w:spacing w:line="295" w:lineRule="auto" w:before="192"/>
        <w:ind w:right="119"/>
      </w:pPr>
      <w:r>
        <w:rPr>
          <w:color w:val="6E6158"/>
        </w:rPr>
        <w:t>Before joining Fennemore, John was a partner at a San Antonio law firm where he focused on</w:t>
      </w:r>
      <w:r>
        <w:rPr>
          <w:color w:val="6E6158"/>
          <w:spacing w:val="40"/>
        </w:rPr>
        <w:t> </w:t>
      </w:r>
      <w:r>
        <w:rPr>
          <w:color w:val="6E6158"/>
        </w:rPr>
        <w:t>labor and employment law. He previously served as counsel at Bracewell LLP in San Antonio and</w:t>
      </w:r>
      <w:r>
        <w:rPr>
          <w:color w:val="6E6158"/>
          <w:spacing w:val="40"/>
        </w:rPr>
        <w:t> </w:t>
      </w:r>
      <w:r>
        <w:rPr>
          <w:color w:val="6E6158"/>
        </w:rPr>
        <w:t>began his career as a trial attorney for the NLRB’s Houston Resident Office (1981–1986). Earlier, he</w:t>
      </w:r>
      <w:r>
        <w:rPr>
          <w:color w:val="6E6158"/>
          <w:spacing w:val="40"/>
        </w:rPr>
        <w:t> </w:t>
      </w:r>
      <w:r>
        <w:rPr>
          <w:color w:val="6E6158"/>
        </w:rPr>
        <w:t>served</w:t>
      </w:r>
      <w:r>
        <w:rPr>
          <w:color w:val="6E6158"/>
          <w:spacing w:val="21"/>
        </w:rPr>
        <w:t> </w:t>
      </w:r>
      <w:r>
        <w:rPr>
          <w:color w:val="6E6158"/>
        </w:rPr>
        <w:t>as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briefing</w:t>
      </w:r>
      <w:r>
        <w:rPr>
          <w:color w:val="6E6158"/>
          <w:spacing w:val="21"/>
        </w:rPr>
        <w:t> </w:t>
      </w:r>
      <w:r>
        <w:rPr>
          <w:color w:val="6E6158"/>
        </w:rPr>
        <w:t>attorney</w:t>
      </w:r>
      <w:r>
        <w:rPr>
          <w:color w:val="6E6158"/>
          <w:spacing w:val="21"/>
        </w:rPr>
        <w:t> </w:t>
      </w:r>
      <w:r>
        <w:rPr>
          <w:color w:val="6E6158"/>
        </w:rPr>
        <w:t>to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Honorable</w:t>
      </w:r>
      <w:r>
        <w:rPr>
          <w:color w:val="6E6158"/>
          <w:spacing w:val="21"/>
        </w:rPr>
        <w:t> </w:t>
      </w:r>
      <w:r>
        <w:rPr>
          <w:color w:val="6E6158"/>
        </w:rPr>
        <w:t>Carlos</w:t>
      </w:r>
      <w:r>
        <w:rPr>
          <w:color w:val="6E6158"/>
          <w:spacing w:val="21"/>
        </w:rPr>
        <w:t> </w:t>
      </w:r>
      <w:r>
        <w:rPr>
          <w:color w:val="6E6158"/>
        </w:rPr>
        <w:t>Cadena,</w:t>
      </w:r>
      <w:r>
        <w:rPr>
          <w:color w:val="6E6158"/>
          <w:spacing w:val="21"/>
        </w:rPr>
        <w:t> </w:t>
      </w:r>
      <w:r>
        <w:rPr>
          <w:color w:val="6E6158"/>
        </w:rPr>
        <w:t>Chief</w:t>
      </w:r>
      <w:r>
        <w:rPr>
          <w:color w:val="6E6158"/>
          <w:spacing w:val="21"/>
        </w:rPr>
        <w:t> </w:t>
      </w:r>
      <w:r>
        <w:rPr>
          <w:color w:val="6E6158"/>
        </w:rPr>
        <w:t>Justice</w:t>
      </w:r>
      <w:r>
        <w:rPr>
          <w:color w:val="6E6158"/>
          <w:spacing w:val="21"/>
        </w:rPr>
        <w:t> </w:t>
      </w:r>
      <w:r>
        <w:rPr>
          <w:color w:val="6E6158"/>
        </w:rPr>
        <w:t>of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Fourth</w:t>
      </w:r>
      <w:r>
        <w:rPr>
          <w:color w:val="6E6158"/>
          <w:spacing w:val="21"/>
        </w:rPr>
        <w:t> </w:t>
      </w:r>
      <w:r>
        <w:rPr>
          <w:color w:val="6E6158"/>
        </w:rPr>
        <w:t>Court of Appeals for the State of Texas.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right="5202"/>
      </w:pPr>
      <w:r>
        <w:rPr>
          <w:color w:val="6E6158"/>
        </w:rPr>
        <w:t>J.D., Texas Tech University School of </w:t>
      </w:r>
      <w:r>
        <w:rPr>
          <w:color w:val="6E6158"/>
        </w:rPr>
        <w:t>Law</w:t>
      </w:r>
      <w:r>
        <w:rPr>
          <w:color w:val="6E6158"/>
        </w:rPr>
        <w:t> B.A., Duke University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662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28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119"/>
      </w:pPr>
      <w:r>
        <w:rPr>
          <w:color w:val="6E6158"/>
        </w:rPr>
        <w:t>Best Lawyers in America®, Employment Law – Management, Labor Law – Management,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Litigation – Labor and Employment, 2008 – 2026</w:t>
      </w:r>
    </w:p>
    <w:p>
      <w:pPr>
        <w:pStyle w:val="BodyText"/>
        <w:spacing w:before="113"/>
      </w:pPr>
      <w:r>
        <w:rPr>
          <w:color w:val="6E6158"/>
        </w:rPr>
        <w:t>Martindale-Hubbell</w:t>
      </w:r>
      <w:r>
        <w:rPr>
          <w:color w:val="6E6158"/>
          <w:spacing w:val="14"/>
        </w:rPr>
        <w:t> </w:t>
      </w:r>
      <w:r>
        <w:rPr>
          <w:color w:val="6E6158"/>
        </w:rPr>
        <w:t>“AV</w:t>
      </w:r>
      <w:r>
        <w:rPr>
          <w:color w:val="6E6158"/>
          <w:spacing w:val="15"/>
        </w:rPr>
        <w:t> </w:t>
      </w:r>
      <w:r>
        <w:rPr>
          <w:color w:val="6E6158"/>
        </w:rPr>
        <w:t>Preeminent”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rating</w:t>
      </w:r>
    </w:p>
    <w:p>
      <w:pPr>
        <w:spacing w:before="164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Top Labor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and Employment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Attorney,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San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Antonio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line="427" w:lineRule="auto" w:before="172"/>
        <w:ind w:right="338"/>
      </w:pPr>
      <w:r>
        <w:rPr>
          <w:color w:val="6E6158"/>
        </w:rPr>
        <w:t>San Antonio’s Best Labor And Employment Lawyers, Scene in S.A., 2011, 2012, and 2015 – 2024</w:t>
      </w:r>
      <w:r>
        <w:rPr>
          <w:color w:val="6E6158"/>
          <w:spacing w:val="40"/>
        </w:rPr>
        <w:t> </w:t>
      </w:r>
      <w:r>
        <w:rPr>
          <w:color w:val="6E6158"/>
        </w:rPr>
        <w:t>Top Labor and Employment Attorney, San Antonio Magazine, 2020 – 2023</w:t>
      </w:r>
    </w:p>
    <w:p>
      <w:pPr>
        <w:pStyle w:val="BodyText"/>
        <w:spacing w:line="226" w:lineRule="exact"/>
      </w:pPr>
      <w:r>
        <w:rPr>
          <w:color w:val="6E6158"/>
        </w:rPr>
        <w:t>Outstanding</w:t>
      </w:r>
      <w:r>
        <w:rPr>
          <w:color w:val="6E6158"/>
          <w:spacing w:val="12"/>
        </w:rPr>
        <w:t> </w:t>
      </w:r>
      <w:r>
        <w:rPr>
          <w:color w:val="6E6158"/>
        </w:rPr>
        <w:t>Lawyer,</w:t>
      </w:r>
      <w:r>
        <w:rPr>
          <w:color w:val="6E6158"/>
          <w:spacing w:val="13"/>
        </w:rPr>
        <w:t> </w:t>
      </w:r>
      <w:r>
        <w:rPr>
          <w:color w:val="6E6158"/>
        </w:rPr>
        <w:t>San</w:t>
      </w:r>
      <w:r>
        <w:rPr>
          <w:color w:val="6E6158"/>
          <w:spacing w:val="13"/>
        </w:rPr>
        <w:t> </w:t>
      </w:r>
      <w:r>
        <w:rPr>
          <w:color w:val="6E6158"/>
        </w:rPr>
        <w:t>Antonio</w:t>
      </w:r>
      <w:r>
        <w:rPr>
          <w:color w:val="6E6158"/>
          <w:spacing w:val="12"/>
        </w:rPr>
        <w:t> </w:t>
      </w:r>
      <w:r>
        <w:rPr>
          <w:color w:val="6E6158"/>
        </w:rPr>
        <w:t>Business</w:t>
      </w:r>
      <w:r>
        <w:rPr>
          <w:color w:val="6E6158"/>
          <w:spacing w:val="13"/>
        </w:rPr>
        <w:t> </w:t>
      </w:r>
      <w:r>
        <w:rPr>
          <w:color w:val="6E6158"/>
        </w:rPr>
        <w:t>Journal,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73"/>
        <w:ind w:right="106"/>
      </w:pPr>
      <w:r>
        <w:rPr>
          <w:color w:val="6E6158"/>
        </w:rPr>
        <w:t>Top Rated Lawyer, Labor &amp; Employment Law, American Lawyer Media and Martindale-</w:t>
      </w:r>
      <w:r>
        <w:rPr>
          <w:color w:val="6E6158"/>
        </w:rPr>
        <w:t>Hubbell, 2013 and 2014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 w:before="1"/>
        <w:ind w:right="338"/>
      </w:pPr>
      <w:r>
        <w:rPr>
          <w:color w:val="6E6158"/>
        </w:rPr>
        <w:t>Presenter, “Labor and Employment Law Update,” 22nd Annual Texas Minority Attorney </w:t>
      </w:r>
      <w:r>
        <w:rPr>
          <w:color w:val="6E6158"/>
        </w:rPr>
        <w:t>Program CLE Program, April 16, 2025</w:t>
      </w:r>
    </w:p>
    <w:p>
      <w:pPr>
        <w:pStyle w:val="BodyText"/>
        <w:spacing w:line="302" w:lineRule="auto" w:before="123"/>
        <w:ind w:right="338"/>
      </w:pPr>
      <w:r>
        <w:rPr>
          <w:color w:val="6E6158"/>
        </w:rPr>
        <w:t>Presenter, “Next Chapter for the Soon to Be Republican Majority NLRB,” </w:t>
      </w:r>
      <w:r>
        <w:rPr>
          <w:color w:val="6E6158"/>
        </w:rPr>
        <w:t>Manufacturers Association’s 20th Annual Employment Law Seminar, February 20. 2025</w:t>
      </w:r>
    </w:p>
    <w:p>
      <w:pPr>
        <w:pStyle w:val="BodyText"/>
        <w:spacing w:line="292" w:lineRule="auto" w:before="113"/>
        <w:ind w:right="106"/>
      </w:pPr>
      <w:r>
        <w:rPr>
          <w:color w:val="6E6158"/>
        </w:rPr>
        <w:t>Presenter, “Intersection of Employment and Labor Law,” State Bar of Texas Labor &amp; Employment Law Section 34th Annual Labor and Employment Law Institute, August 10, 2024</w:t>
      </w:r>
    </w:p>
    <w:p>
      <w:pPr>
        <w:pStyle w:val="BodyText"/>
        <w:spacing w:line="302" w:lineRule="auto" w:before="123"/>
        <w:ind w:right="338"/>
      </w:pPr>
      <w:r>
        <w:rPr>
          <w:color w:val="6E6158"/>
        </w:rPr>
        <w:t>Presenter, “Union Organizing/NLRA Update,” San Antonio Manufacturers Association’s </w:t>
      </w:r>
      <w:r>
        <w:rPr>
          <w:color w:val="6E6158"/>
        </w:rPr>
        <w:t>19th Annual Employment Law Seminar, February 22, 2024</w:t>
      </w:r>
    </w:p>
    <w:p>
      <w:pPr>
        <w:pStyle w:val="BodyText"/>
        <w:spacing w:line="292" w:lineRule="auto" w:before="113"/>
        <w:ind w:right="119"/>
      </w:pPr>
      <w:r>
        <w:rPr>
          <w:color w:val="6E6158"/>
        </w:rPr>
        <w:t>Presenter, “NLRB Update: Substantial Changes and Recent Union Activity in San Antonio,” </w:t>
      </w:r>
      <w:r>
        <w:rPr>
          <w:color w:val="6E6158"/>
        </w:rPr>
        <w:t>San Antonio SHRM Annual Employment Law Conference, September 13, 2023</w:t>
      </w:r>
    </w:p>
    <w:p>
      <w:pPr>
        <w:pStyle w:val="BodyText"/>
        <w:spacing w:line="302" w:lineRule="auto" w:before="123"/>
        <w:ind w:right="106"/>
      </w:pPr>
      <w:r>
        <w:rPr>
          <w:color w:val="6E6158"/>
        </w:rPr>
        <w:t>Presenter, “Labor Law Changes to Be Aware of in 2023,” San Antonio Manufacturers Association 18th Annual Employment Law Seminar, February 23, 2023</w:t>
      </w:r>
    </w:p>
    <w:p>
      <w:pPr>
        <w:pStyle w:val="BodyText"/>
        <w:spacing w:line="292" w:lineRule="auto" w:before="113"/>
        <w:ind w:right="106"/>
      </w:pPr>
      <w:r>
        <w:rPr>
          <w:color w:val="6E6158"/>
        </w:rPr>
        <w:t>Presenter, “Update on the Biden NLRB and Union Organizing Trends As Workers Seize New Power After</w:t>
      </w:r>
      <w:r>
        <w:rPr>
          <w:color w:val="6E6158"/>
          <w:spacing w:val="33"/>
        </w:rPr>
        <w:t> </w:t>
      </w:r>
      <w:r>
        <w:rPr>
          <w:color w:val="6E6158"/>
        </w:rPr>
        <w:t>Pandemic</w:t>
      </w:r>
      <w:r>
        <w:rPr>
          <w:color w:val="6E6158"/>
          <w:spacing w:val="33"/>
        </w:rPr>
        <w:t> </w:t>
      </w:r>
      <w:r>
        <w:rPr>
          <w:color w:val="6E6158"/>
        </w:rPr>
        <w:t>Wanes,”</w:t>
      </w:r>
      <w:r>
        <w:rPr>
          <w:color w:val="6E6158"/>
          <w:spacing w:val="33"/>
        </w:rPr>
        <w:t> </w:t>
      </w:r>
      <w:r>
        <w:rPr>
          <w:color w:val="6E6158"/>
        </w:rPr>
        <w:t>SAHRMA</w:t>
      </w:r>
      <w:r>
        <w:rPr>
          <w:color w:val="6E6158"/>
          <w:spacing w:val="33"/>
        </w:rPr>
        <w:t> </w:t>
      </w:r>
      <w:r>
        <w:rPr>
          <w:color w:val="6E6158"/>
        </w:rPr>
        <w:t>16th</w:t>
      </w:r>
      <w:r>
        <w:rPr>
          <w:color w:val="6E6158"/>
          <w:spacing w:val="33"/>
        </w:rPr>
        <w:t> </w:t>
      </w:r>
      <w:r>
        <w:rPr>
          <w:color w:val="6E6158"/>
        </w:rPr>
        <w:t>Annual</w:t>
      </w:r>
      <w:r>
        <w:rPr>
          <w:color w:val="6E6158"/>
          <w:spacing w:val="33"/>
        </w:rPr>
        <w:t> </w:t>
      </w:r>
      <w:r>
        <w:rPr>
          <w:color w:val="6E6158"/>
        </w:rPr>
        <w:t>Employment</w:t>
      </w:r>
      <w:r>
        <w:rPr>
          <w:color w:val="6E6158"/>
          <w:spacing w:val="33"/>
        </w:rPr>
        <w:t> </w:t>
      </w:r>
      <w:r>
        <w:rPr>
          <w:color w:val="6E6158"/>
        </w:rPr>
        <w:t>Law</w:t>
      </w:r>
      <w:r>
        <w:rPr>
          <w:color w:val="6E6158"/>
          <w:spacing w:val="33"/>
        </w:rPr>
        <w:t> </w:t>
      </w:r>
      <w:r>
        <w:rPr>
          <w:color w:val="6E6158"/>
        </w:rPr>
        <w:t>Conference,</w:t>
      </w:r>
      <w:r>
        <w:rPr>
          <w:color w:val="6E6158"/>
          <w:spacing w:val="33"/>
        </w:rPr>
        <w:t> </w:t>
      </w:r>
      <w:r>
        <w:rPr>
          <w:color w:val="6E6158"/>
        </w:rPr>
        <w:t>August</w:t>
      </w:r>
      <w:r>
        <w:rPr>
          <w:color w:val="6E6158"/>
          <w:spacing w:val="33"/>
        </w:rPr>
        <w:t> </w:t>
      </w:r>
      <w:r>
        <w:rPr>
          <w:color w:val="6E6158"/>
        </w:rPr>
        <w:t>10,</w:t>
      </w:r>
      <w:r>
        <w:rPr>
          <w:color w:val="6E6158"/>
          <w:spacing w:val="33"/>
        </w:rPr>
        <w:t> </w:t>
      </w:r>
      <w:r>
        <w:rPr>
          <w:color w:val="6E6158"/>
        </w:rPr>
        <w:t>2022</w:t>
      </w:r>
    </w:p>
    <w:p>
      <w:pPr>
        <w:pStyle w:val="BodyText"/>
        <w:spacing w:line="302" w:lineRule="auto" w:before="123"/>
        <w:ind w:right="119"/>
      </w:pPr>
      <w:r>
        <w:rPr>
          <w:color w:val="6E6158"/>
        </w:rPr>
        <w:t>Presenter, “The Laws The Pandemic Forgot: The Top 10 Non-COVID Employment Issues for 2022,” NAMWOLF Driving Diversity &amp; Leadership Conference, March 7 2022</w:t>
      </w:r>
    </w:p>
    <w:p>
      <w:pPr>
        <w:pStyle w:val="BodyText"/>
        <w:spacing w:line="292" w:lineRule="auto" w:before="113"/>
        <w:ind w:right="106"/>
      </w:pPr>
      <w:r>
        <w:rPr>
          <w:color w:val="6E6158"/>
        </w:rPr>
        <w:t>Presenter, “Union Organizing, the Biden Board, and Contentious Speech,” San </w:t>
      </w:r>
      <w:r>
        <w:rPr>
          <w:color w:val="6E6158"/>
        </w:rPr>
        <w:t>Antonio Manufacturers Association 17th Annual Employment Law Seminar, February 24,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right="338"/>
      </w:pPr>
      <w:r>
        <w:rPr>
          <w:color w:val="6E6158"/>
        </w:rPr>
        <w:t>Presenter, “Why The Pro Act (and Other Biden NLRB Initiatives) Are Significant Challenges </w:t>
      </w:r>
      <w:r>
        <w:rPr>
          <w:color w:val="6E6158"/>
        </w:rPr>
        <w:t>For South</w:t>
      </w:r>
      <w:r>
        <w:rPr>
          <w:color w:val="6E6158"/>
          <w:spacing w:val="37"/>
        </w:rPr>
        <w:t> </w:t>
      </w:r>
      <w:r>
        <w:rPr>
          <w:color w:val="6E6158"/>
        </w:rPr>
        <w:t>Texas</w:t>
      </w:r>
      <w:r>
        <w:rPr>
          <w:color w:val="6E6158"/>
          <w:spacing w:val="37"/>
        </w:rPr>
        <w:t> </w:t>
      </w:r>
      <w:r>
        <w:rPr>
          <w:color w:val="6E6158"/>
        </w:rPr>
        <w:t>Employers,”</w:t>
      </w:r>
      <w:r>
        <w:rPr>
          <w:color w:val="6E6158"/>
          <w:spacing w:val="37"/>
        </w:rPr>
        <w:t> </w:t>
      </w:r>
      <w:r>
        <w:rPr>
          <w:color w:val="6E6158"/>
        </w:rPr>
        <w:t>SAHRMA</w:t>
      </w:r>
      <w:r>
        <w:rPr>
          <w:color w:val="6E6158"/>
          <w:spacing w:val="37"/>
        </w:rPr>
        <w:t> </w:t>
      </w:r>
      <w:r>
        <w:rPr>
          <w:color w:val="6E6158"/>
        </w:rPr>
        <w:t>15th</w:t>
      </w:r>
      <w:r>
        <w:rPr>
          <w:color w:val="6E6158"/>
          <w:spacing w:val="37"/>
        </w:rPr>
        <w:t> </w:t>
      </w:r>
      <w:r>
        <w:rPr>
          <w:color w:val="6E6158"/>
        </w:rPr>
        <w:t>Annual</w:t>
      </w:r>
      <w:r>
        <w:rPr>
          <w:color w:val="6E6158"/>
          <w:spacing w:val="37"/>
        </w:rPr>
        <w:t> </w:t>
      </w:r>
      <w:r>
        <w:rPr>
          <w:color w:val="6E6158"/>
        </w:rPr>
        <w:t>Employment</w:t>
      </w:r>
      <w:r>
        <w:rPr>
          <w:color w:val="6E6158"/>
          <w:spacing w:val="37"/>
        </w:rPr>
        <w:t> </w:t>
      </w:r>
      <w:r>
        <w:rPr>
          <w:color w:val="6E6158"/>
        </w:rPr>
        <w:t>Conference,</w:t>
      </w:r>
      <w:r>
        <w:rPr>
          <w:color w:val="6E6158"/>
          <w:spacing w:val="37"/>
        </w:rPr>
        <w:t> </w:t>
      </w:r>
      <w:r>
        <w:rPr>
          <w:color w:val="6E6158"/>
        </w:rPr>
        <w:t>August</w:t>
      </w:r>
      <w:r>
        <w:rPr>
          <w:color w:val="6E6158"/>
          <w:spacing w:val="37"/>
        </w:rPr>
        <w:t> </w:t>
      </w:r>
      <w:r>
        <w:rPr>
          <w:color w:val="6E6158"/>
        </w:rPr>
        <w:t>18,</w:t>
      </w:r>
      <w:r>
        <w:rPr>
          <w:color w:val="6E6158"/>
          <w:spacing w:val="37"/>
        </w:rPr>
        <w:t> </w:t>
      </w:r>
      <w:r>
        <w:rPr>
          <w:color w:val="6E6158"/>
        </w:rPr>
        <w:t>2021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2553"/>
      </w:pPr>
      <w:r>
        <w:rPr>
          <w:color w:val="6E6158"/>
        </w:rPr>
        <w:t>Member, State Bar of Texas Labor and Employment Law </w:t>
      </w:r>
      <w:r>
        <w:rPr>
          <w:color w:val="6E6158"/>
        </w:rPr>
        <w:t>Section Member, San Antonio Bar Association</w:t>
      </w:r>
    </w:p>
    <w:p>
      <w:pPr>
        <w:pStyle w:val="BodyText"/>
        <w:spacing w:line="231" w:lineRule="exact"/>
      </w:pPr>
      <w:r>
        <w:rPr>
          <w:color w:val="6E6158"/>
        </w:rPr>
        <w:t>Board</w:t>
      </w:r>
      <w:r>
        <w:rPr>
          <w:color w:val="6E6158"/>
          <w:spacing w:val="10"/>
        </w:rPr>
        <w:t> </w:t>
      </w:r>
      <w:r>
        <w:rPr>
          <w:color w:val="6E6158"/>
        </w:rPr>
        <w:t>Advisor,</w:t>
      </w:r>
      <w:r>
        <w:rPr>
          <w:color w:val="6E6158"/>
          <w:spacing w:val="11"/>
        </w:rPr>
        <w:t> </w:t>
      </w:r>
      <w:r>
        <w:rPr>
          <w:color w:val="6E6158"/>
        </w:rPr>
        <w:t>Compadres</w:t>
      </w:r>
      <w:r>
        <w:rPr>
          <w:color w:val="6E6158"/>
          <w:spacing w:val="11"/>
        </w:rPr>
        <w:t> </w:t>
      </w:r>
      <w:r>
        <w:rPr>
          <w:color w:val="6E6158"/>
        </w:rPr>
        <w:t>Therapy,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Inc.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Courts,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Texas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Courts,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9" w:hanging="173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7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270" w:hanging="171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jferguson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A. Ferguson, Jr. - Fennemore</dc:title>
  <dcterms:created xsi:type="dcterms:W3CDTF">2026-06-12T09:34:19Z</dcterms:created>
  <dcterms:modified xsi:type="dcterms:W3CDTF">2026-06-12T09:34:19Z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