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andy Jefferie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528" w:right="1530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R.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JEFFERIES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602.916.5513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rjefferies@fennemorelaw.com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Randy Jefferies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528" w:right="1530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R.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JEFFERIES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602.916.5513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rjefferies@fennemorelaw.com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002E6B"/>
        </w:rPr>
        <w:t>JOHN</w:t>
      </w:r>
      <w:r>
        <w:rPr>
          <w:color w:val="002E6B"/>
          <w:spacing w:val="5"/>
        </w:rPr>
        <w:t> </w:t>
      </w:r>
      <w:r>
        <w:rPr>
          <w:color w:val="002E6B"/>
        </w:rPr>
        <w:t>R.</w:t>
      </w:r>
      <w:r>
        <w:rPr>
          <w:color w:val="002E6B"/>
          <w:spacing w:val="5"/>
        </w:rPr>
        <w:t> </w:t>
      </w:r>
      <w:r>
        <w:rPr>
          <w:color w:val="002E6B"/>
          <w:spacing w:val="-2"/>
        </w:rPr>
        <w:t>JEFFERIES</w:t>
      </w:r>
    </w:p>
    <w:p>
      <w:pPr>
        <w:pStyle w:val="BodyText"/>
        <w:spacing w:line="297" w:lineRule="auto" w:before="147"/>
        <w:ind w:right="550"/>
      </w:pPr>
      <w:r>
        <w:rPr>
          <w:color w:val="6E6158"/>
        </w:rPr>
        <w:t>Randy</w:t>
      </w:r>
      <w:r>
        <w:rPr>
          <w:color w:val="6E6158"/>
          <w:spacing w:val="23"/>
        </w:rPr>
        <w:t> </w:t>
      </w:r>
      <w:r>
        <w:rPr>
          <w:color w:val="6E6158"/>
        </w:rPr>
        <w:t>practices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areas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federal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state</w:t>
      </w:r>
      <w:r>
        <w:rPr>
          <w:color w:val="6E6158"/>
          <w:spacing w:val="23"/>
        </w:rPr>
        <w:t> </w:t>
      </w:r>
      <w:r>
        <w:rPr>
          <w:color w:val="6E6158"/>
        </w:rPr>
        <w:t>procurement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government</w:t>
      </w:r>
      <w:r>
        <w:rPr>
          <w:color w:val="6E6158"/>
          <w:spacing w:val="23"/>
        </w:rPr>
        <w:t> </w:t>
      </w:r>
      <w:r>
        <w:rPr>
          <w:color w:val="6E6158"/>
        </w:rPr>
        <w:t>contract</w:t>
      </w:r>
      <w:r>
        <w:rPr>
          <w:color w:val="6E6158"/>
          <w:spacing w:val="23"/>
        </w:rPr>
        <w:t> </w:t>
      </w:r>
      <w:r>
        <w:rPr>
          <w:color w:val="6E6158"/>
        </w:rPr>
        <w:t>law, as well as building and construction law. He has negotiated and litigated construction claims </w:t>
      </w:r>
      <w:r>
        <w:rPr>
          <w:color w:val="6E6158"/>
        </w:rPr>
        <w:t>at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city,</w:t>
      </w:r>
      <w:r>
        <w:rPr>
          <w:color w:val="6E6158"/>
          <w:spacing w:val="29"/>
        </w:rPr>
        <w:t> </w:t>
      </w:r>
      <w:r>
        <w:rPr>
          <w:color w:val="6E6158"/>
        </w:rPr>
        <w:t>county,</w:t>
      </w:r>
      <w:r>
        <w:rPr>
          <w:color w:val="6E6158"/>
          <w:spacing w:val="29"/>
        </w:rPr>
        <w:t> </w:t>
      </w:r>
      <w:r>
        <w:rPr>
          <w:color w:val="6E6158"/>
        </w:rPr>
        <w:t>state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federal</w:t>
      </w:r>
      <w:r>
        <w:rPr>
          <w:color w:val="6E6158"/>
          <w:spacing w:val="29"/>
        </w:rPr>
        <w:t> </w:t>
      </w:r>
      <w:r>
        <w:rPr>
          <w:color w:val="6E6158"/>
        </w:rPr>
        <w:t>levels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behalf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general</w:t>
      </w:r>
      <w:r>
        <w:rPr>
          <w:color w:val="6E6158"/>
          <w:spacing w:val="29"/>
        </w:rPr>
        <w:t> </w:t>
      </w:r>
      <w:r>
        <w:rPr>
          <w:color w:val="6E6158"/>
        </w:rPr>
        <w:t>contractors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specialty</w:t>
      </w:r>
    </w:p>
    <w:p>
      <w:pPr>
        <w:pStyle w:val="BodyText"/>
        <w:spacing w:line="229" w:lineRule="exact"/>
      </w:pPr>
      <w:r>
        <w:rPr>
          <w:color w:val="6E6158"/>
        </w:rPr>
        <w:t>subcontractors.</w:t>
      </w:r>
      <w:r>
        <w:rPr>
          <w:color w:val="6E6158"/>
          <w:spacing w:val="13"/>
        </w:rPr>
        <w:t> </w:t>
      </w:r>
      <w:r>
        <w:rPr>
          <w:color w:val="6E6158"/>
        </w:rPr>
        <w:t>At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federal</w:t>
      </w:r>
      <w:r>
        <w:rPr>
          <w:color w:val="6E6158"/>
          <w:spacing w:val="14"/>
        </w:rPr>
        <w:t> </w:t>
      </w:r>
      <w:r>
        <w:rPr>
          <w:color w:val="6E6158"/>
        </w:rPr>
        <w:t>level,</w:t>
      </w:r>
      <w:r>
        <w:rPr>
          <w:color w:val="6E6158"/>
          <w:spacing w:val="13"/>
        </w:rPr>
        <w:t> </w:t>
      </w:r>
      <w:r>
        <w:rPr>
          <w:color w:val="6E6158"/>
        </w:rPr>
        <w:t>Randy</w:t>
      </w:r>
      <w:r>
        <w:rPr>
          <w:color w:val="6E6158"/>
          <w:spacing w:val="13"/>
        </w:rPr>
        <w:t> </w:t>
      </w:r>
      <w:r>
        <w:rPr>
          <w:color w:val="6E6158"/>
        </w:rPr>
        <w:t>has</w:t>
      </w:r>
      <w:r>
        <w:rPr>
          <w:color w:val="6E6158"/>
          <w:spacing w:val="13"/>
        </w:rPr>
        <w:t> </w:t>
      </w:r>
      <w:r>
        <w:rPr>
          <w:color w:val="6E6158"/>
        </w:rPr>
        <w:t>litigated</w:t>
      </w:r>
      <w:r>
        <w:rPr>
          <w:color w:val="6E6158"/>
          <w:spacing w:val="14"/>
        </w:rPr>
        <w:t> </w:t>
      </w:r>
      <w:r>
        <w:rPr>
          <w:color w:val="6E6158"/>
        </w:rPr>
        <w:t>claims</w:t>
      </w:r>
      <w:r>
        <w:rPr>
          <w:color w:val="6E6158"/>
          <w:spacing w:val="13"/>
        </w:rPr>
        <w:t> </w:t>
      </w:r>
      <w:r>
        <w:rPr>
          <w:color w:val="6E6158"/>
        </w:rPr>
        <w:t>involving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defective</w:t>
      </w:r>
    </w:p>
    <w:p>
      <w:pPr>
        <w:pStyle w:val="BodyText"/>
        <w:spacing w:line="295" w:lineRule="auto" w:before="52"/>
        <w:ind w:right="440"/>
      </w:pPr>
      <w:r>
        <w:rPr>
          <w:color w:val="6E6158"/>
        </w:rPr>
        <w:t>specifications,</w:t>
      </w:r>
      <w:r>
        <w:rPr>
          <w:color w:val="6E6158"/>
          <w:spacing w:val="40"/>
        </w:rPr>
        <w:t> </w:t>
      </w:r>
      <w:r>
        <w:rPr>
          <w:color w:val="6E6158"/>
        </w:rPr>
        <w:t>constructive</w:t>
      </w:r>
      <w:r>
        <w:rPr>
          <w:color w:val="6E6158"/>
          <w:spacing w:val="40"/>
        </w:rPr>
        <w:t> </w:t>
      </w:r>
      <w:r>
        <w:rPr>
          <w:color w:val="6E6158"/>
        </w:rPr>
        <w:t>changes,</w:t>
      </w:r>
      <w:r>
        <w:rPr>
          <w:color w:val="6E6158"/>
          <w:spacing w:val="40"/>
        </w:rPr>
        <w:t> </w:t>
      </w:r>
      <w:r>
        <w:rPr>
          <w:color w:val="6E6158"/>
        </w:rPr>
        <w:t>acceleration,</w:t>
      </w:r>
      <w:r>
        <w:rPr>
          <w:color w:val="6E6158"/>
          <w:spacing w:val="40"/>
        </w:rPr>
        <w:t> </w:t>
      </w:r>
      <w:r>
        <w:rPr>
          <w:color w:val="6E6158"/>
        </w:rPr>
        <w:t>excusable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compensable</w:t>
      </w:r>
      <w:r>
        <w:rPr>
          <w:color w:val="6E6158"/>
          <w:spacing w:val="40"/>
        </w:rPr>
        <w:t> </w:t>
      </w:r>
      <w:r>
        <w:rPr>
          <w:color w:val="6E6158"/>
        </w:rPr>
        <w:t>delays, differing</w:t>
      </w:r>
      <w:r>
        <w:rPr>
          <w:color w:val="6E6158"/>
          <w:spacing w:val="36"/>
        </w:rPr>
        <w:t> </w:t>
      </w:r>
      <w:r>
        <w:rPr>
          <w:color w:val="6E6158"/>
        </w:rPr>
        <w:t>site</w:t>
      </w:r>
      <w:r>
        <w:rPr>
          <w:color w:val="6E6158"/>
          <w:spacing w:val="36"/>
        </w:rPr>
        <w:t> </w:t>
      </w:r>
      <w:r>
        <w:rPr>
          <w:color w:val="6E6158"/>
        </w:rPr>
        <w:t>conditions,</w:t>
      </w:r>
      <w:r>
        <w:rPr>
          <w:color w:val="6E6158"/>
          <w:spacing w:val="36"/>
        </w:rPr>
        <w:t> </w:t>
      </w:r>
      <w:r>
        <w:rPr>
          <w:color w:val="6E6158"/>
        </w:rPr>
        <w:t>terminations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default,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structured</w:t>
      </w:r>
      <w:r>
        <w:rPr>
          <w:color w:val="6E6158"/>
          <w:spacing w:val="36"/>
        </w:rPr>
        <w:t> </w:t>
      </w:r>
      <w:r>
        <w:rPr>
          <w:color w:val="6E6158"/>
        </w:rPr>
        <w:t>settlements</w:t>
      </w:r>
      <w:r>
        <w:rPr>
          <w:color w:val="6E6158"/>
          <w:spacing w:val="36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terminations</w:t>
      </w:r>
      <w:r>
        <w:rPr>
          <w:color w:val="6E6158"/>
          <w:spacing w:val="36"/>
        </w:rPr>
        <w:t> </w:t>
      </w:r>
      <w:r>
        <w:rPr>
          <w:color w:val="6E6158"/>
        </w:rPr>
        <w:t>for the convenience of the government. He also has been involved with bid protests before the</w:t>
      </w:r>
      <w:r>
        <w:rPr>
          <w:color w:val="6E6158"/>
          <w:spacing w:val="40"/>
        </w:rPr>
        <w:t> </w:t>
      </w:r>
      <w:r>
        <w:rPr>
          <w:color w:val="6E6158"/>
        </w:rPr>
        <w:t>Comptroller General of the General Accounting Office, having represented both awardees and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protestors.</w:t>
      </w:r>
    </w:p>
    <w:p>
      <w:pPr>
        <w:pStyle w:val="BodyText"/>
        <w:spacing w:line="292" w:lineRule="auto" w:before="203"/>
        <w:ind w:right="550"/>
      </w:pPr>
      <w:r>
        <w:rPr>
          <w:color w:val="6E6158"/>
        </w:rPr>
        <w:t>At the local level, Randy has pursued claims against city, county and state entities in Arizona,</w:t>
      </w:r>
      <w:r>
        <w:rPr>
          <w:color w:val="6E6158"/>
          <w:spacing w:val="40"/>
        </w:rPr>
        <w:t> </w:t>
      </w:r>
      <w:r>
        <w:rPr>
          <w:color w:val="6E6158"/>
        </w:rPr>
        <w:t>California, New Mexico, Utah and Nevada, and has been involved in a number of bid protests</w:t>
      </w:r>
      <w:r>
        <w:rPr>
          <w:color w:val="6E6158"/>
          <w:spacing w:val="40"/>
        </w:rPr>
        <w:t> </w:t>
      </w:r>
      <w:r>
        <w:rPr>
          <w:color w:val="6E6158"/>
        </w:rPr>
        <w:t>involving the Arizona Procurement Office and the Arizona Department of Transportation. He also</w:t>
      </w:r>
      <w:r>
        <w:rPr>
          <w:color w:val="6E6158"/>
          <w:spacing w:val="40"/>
        </w:rPr>
        <w:t> </w:t>
      </w:r>
      <w:r>
        <w:rPr>
          <w:color w:val="6E6158"/>
        </w:rPr>
        <w:t>handles</w:t>
      </w:r>
      <w:r>
        <w:rPr>
          <w:color w:val="6E6158"/>
          <w:spacing w:val="40"/>
        </w:rPr>
        <w:t> </w:t>
      </w:r>
      <w:r>
        <w:rPr>
          <w:color w:val="6E6158"/>
        </w:rPr>
        <w:t>private</w:t>
      </w:r>
      <w:r>
        <w:rPr>
          <w:color w:val="6E6158"/>
          <w:spacing w:val="40"/>
        </w:rPr>
        <w:t>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arbitration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40"/>
        </w:rPr>
        <w:t> </w:t>
      </w:r>
      <w:r>
        <w:rPr>
          <w:color w:val="6E6158"/>
        </w:rPr>
        <w:t>between</w:t>
      </w:r>
    </w:p>
    <w:p>
      <w:pPr>
        <w:pStyle w:val="BodyText"/>
        <w:spacing w:line="292" w:lineRule="auto" w:before="10"/>
        <w:ind w:right="550"/>
      </w:pPr>
      <w:r>
        <w:rPr>
          <w:color w:val="6E6158"/>
        </w:rPr>
        <w:t>owners, general contractors and subcontractors, as well as performance and payment </w:t>
      </w:r>
      <w:r>
        <w:rPr>
          <w:color w:val="6E6158"/>
        </w:rPr>
        <w:t>bond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claims.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/>
        <w:ind w:right="4551"/>
      </w:pPr>
      <w:r>
        <w:rPr>
          <w:color w:val="6E6158"/>
        </w:rPr>
        <w:t>J.D., University of Utah, S.J. Quinney College of </w:t>
      </w:r>
      <w:r>
        <w:rPr>
          <w:color w:val="6E6158"/>
        </w:rPr>
        <w:t>Law</w:t>
      </w:r>
      <w:r>
        <w:rPr>
          <w:color w:val="6E6158"/>
        </w:rPr>
        <w:t> B.A., University of Notre Dame</w:t>
      </w:r>
    </w:p>
    <w:p>
      <w:pPr>
        <w:pStyle w:val="BodyText"/>
        <w:spacing w:line="226" w:lineRule="exact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254"/>
        <w:ind w:left="99" w:right="550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Commercial Litigation, Construction Law, Litigation – </w:t>
      </w:r>
      <w:r>
        <w:rPr>
          <w:color w:val="6E6158"/>
          <w:sz w:val="19"/>
        </w:rPr>
        <w:t>Construction, Litigation – Real Estate, 2005-2026</w:t>
      </w:r>
    </w:p>
    <w:p>
      <w:pPr>
        <w:spacing w:line="408" w:lineRule="auto" w:before="106"/>
        <w:ind w:left="99" w:right="1629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America®</w:t>
      </w:r>
      <w:r>
        <w:rPr>
          <w:color w:val="6E6158"/>
          <w:sz w:val="19"/>
        </w:rPr>
        <w:t>, Lawyer of the Year, Construction Law, 2018, 2026 Chambers USA, Construction: Arizona, 2026</w:t>
      </w:r>
    </w:p>
    <w:p>
      <w:pPr>
        <w:spacing w:before="4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Litigation, 2009-2016,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spacing w:before="17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Arizona’s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Top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Construction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AZ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Magazine,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BodyText"/>
        <w:spacing w:before="164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3199"/>
      </w:pPr>
      <w:r>
        <w:rPr>
          <w:color w:val="6E6158"/>
        </w:rPr>
        <w:t>Member, Public Contracts Section, American Bar </w:t>
      </w:r>
      <w:r>
        <w:rPr>
          <w:color w:val="6E6158"/>
        </w:rPr>
        <w:t>Association Member, State Bar of Arizona</w:t>
      </w:r>
    </w:p>
    <w:p>
      <w:pPr>
        <w:pStyle w:val="BodyText"/>
        <w:spacing w:line="226" w:lineRule="exact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</w:pPr>
      <w:r>
        <w:rPr>
          <w:color w:val="6E6158"/>
        </w:rPr>
        <w:t>Past</w:t>
      </w:r>
      <w:r>
        <w:rPr>
          <w:color w:val="6E6158"/>
          <w:spacing w:val="10"/>
        </w:rPr>
        <w:t> </w:t>
      </w:r>
      <w:r>
        <w:rPr>
          <w:color w:val="6E6158"/>
        </w:rPr>
        <w:t>Member,</w:t>
      </w:r>
      <w:r>
        <w:rPr>
          <w:color w:val="6E6158"/>
          <w:spacing w:val="11"/>
        </w:rPr>
        <w:t> </w:t>
      </w: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Governors,</w:t>
      </w:r>
      <w:r>
        <w:rPr>
          <w:color w:val="6E6158"/>
          <w:spacing w:val="10"/>
        </w:rPr>
        <w:t> </w:t>
      </w:r>
      <w:r>
        <w:rPr>
          <w:color w:val="6E6158"/>
        </w:rPr>
        <w:t>Construction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Section,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7" w:lineRule="auto" w:before="1"/>
        <w:ind w:right="8221"/>
      </w:pPr>
      <w:r>
        <w:rPr>
          <w:color w:val="6E6158"/>
          <w:spacing w:val="-2"/>
        </w:rPr>
        <w:t>Arizona Nevada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jefferie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R. Jefferies - Fennemore</dc:title>
  <dcterms:created xsi:type="dcterms:W3CDTF">2026-06-12T10:23:40Z</dcterms:created>
  <dcterms:modified xsi:type="dcterms:W3CDTF">2026-06-12T10:23:40Z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