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5"/>
        <w:rPr>
          <w:rFonts w:ascii="Times New Roman"/>
        </w:rPr>
      </w:pPr>
    </w:p>
    <w:p>
      <w:pPr>
        <w:pStyle w:val="BodyText"/>
        <w:spacing w:line="302" w:lineRule="auto"/>
        <w:ind w:left="99" w:right="4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-4761464</wp:posOffset>
                </wp:positionV>
                <wp:extent cx="6071870" cy="466979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669790"/>
                          <a:chExt cx="6071870" cy="46697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95219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Joshua Cohen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265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2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27020">
                                <a:moveTo>
                                  <a:pt x="3033212" y="2826519"/>
                                </a:moveTo>
                                <a:lnTo>
                                  <a:pt x="0" y="2826519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26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80943" y="1576031"/>
                            <a:ext cx="194818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8180" h="320675">
                                <a:moveTo>
                                  <a:pt x="1948078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48078" y="320382"/>
                                </a:lnTo>
                                <a:lnTo>
                                  <a:pt x="1948078" y="315214"/>
                                </a:lnTo>
                                <a:close/>
                              </a:path>
                              <a:path w="1948180" h="320675">
                                <a:moveTo>
                                  <a:pt x="19480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48078" y="5168"/>
                                </a:lnTo>
                                <a:lnTo>
                                  <a:pt x="1948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580786" y="763308"/>
                            <a:ext cx="1958975" cy="1031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JOSHUA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COHEN</w:t>
                              </w:r>
                            </w:p>
                            <w:p>
                              <w:pPr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Pronouns: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he/him</w:t>
                              </w:r>
                            </w:p>
                            <w:p>
                              <w:pPr>
                                <w:spacing w:before="114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34890" y="2066319"/>
                            <a:ext cx="45021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625515" y="2226475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07582" y="2226475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510.834.1928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38182" y="2433198"/>
                            <a:ext cx="14439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jcohen@fennemorelaw.com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523854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940567" y="3688855"/>
                            <a:ext cx="220662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men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action.</w:t>
                              </w:r>
                              <w:r>
                                <w:rPr>
                                  <w:color w:val="FFFFFF"/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Lies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become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us.</w:t>
                              </w:r>
                            </w:p>
                            <w:p>
                              <w:pPr>
                                <w:spacing w:before="8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Dread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Pirate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Roberts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481270"/>
                            <a:ext cx="121285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JOSHUA</w:t>
                              </w:r>
                              <w:r>
                                <w:rPr>
                                  <w:b/>
                                  <w:color w:val="FF8100"/>
                                  <w:spacing w:val="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pacing w:val="-4"/>
                                  <w:sz w:val="24"/>
                                </w:rPr>
                                <w:t>COHEN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523854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74.918457pt;width:478.1pt;height:367.7pt;mso-position-horizontal-relative:page;mso-position-vertical-relative:paragraph;z-index:15728640" id="docshapegroup1" coordorigin="1336,-7498" coordsize="9562,7354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499;width:2165;height:424" type="#_x0000_t75" id="docshape3" alt="Fennemore" href="https://www.fennemorelaw.com/" stroked="false">
                  <v:imagedata r:id="rId5" o:title=""/>
                </v:shape>
                <v:shape style="position:absolute;left:1336;top:-7076;width:4785;height:4452" type="#_x0000_t75" id="docshape4" alt="Joshua Cohen" stroked="false">
                  <v:imagedata r:id="rId7" o:title=""/>
                </v:shape>
                <v:rect style="position:absolute;left:6121;top:-7076;width:4777;height:4452" id="docshape5" filled="true" fillcolor="#262424" stroked="false">
                  <v:fill type="solid"/>
                </v:rect>
                <v:shape style="position:absolute;left:6975;top:-5017;width:3068;height:505" id="docshape6" coordorigin="6975,-5016" coordsize="3068,505" path="m10043,-4520l6975,-4520,6975,-4512,10043,-4512,10043,-4520xm10043,-5016l6975,-5016,6975,-5008,10043,-5008,10043,-50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75;top:-6297;width:3085;height:1625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JOSHUA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COHEN</w:t>
                        </w:r>
                      </w:p>
                      <w:p>
                        <w:pPr>
                          <w:spacing w:before="55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Pronouns: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he/him</w:t>
                        </w:r>
                      </w:p>
                      <w:p>
                        <w:pPr>
                          <w:spacing w:before="114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62;top:-4245;width:709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45;top:-3993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</w:p>
                    </w:txbxContent>
                  </v:textbox>
                  <w10:wrap type="none"/>
                </v:shape>
                <v:shape style="position:absolute;left:8749;top:-3993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510.834.1928</w:t>
                        </w:r>
                      </w:p>
                    </w:txbxContent>
                  </v:textbox>
                  <w10:wrap type="none"/>
                </v:shape>
                <v:shape style="position:absolute;left:7380;top:-3667;width:2274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jcohen@fennemorelaw.com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49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392;top:-1690;width:3475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men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action.</w:t>
                        </w:r>
                        <w:r>
                          <w:rPr>
                            <w:color w:val="FFFFFF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Lies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not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become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us.</w:t>
                        </w:r>
                      </w:p>
                      <w:p>
                        <w:pPr>
                          <w:spacing w:before="8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Dread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Pirate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Roberts</w:t>
                        </w:r>
                      </w:p>
                    </w:txbxContent>
                  </v:textbox>
                  <w10:wrap type="none"/>
                </v:shape>
                <v:shape style="position:absolute;left:1539;top:-442;width:1910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8100"/>
                            <w:sz w:val="24"/>
                          </w:rPr>
                          <w:t>JOSHUA</w:t>
                        </w:r>
                        <w:r>
                          <w:rPr>
                            <w:b/>
                            <w:color w:val="FF8100"/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pacing w:val="-4"/>
                            <w:sz w:val="24"/>
                          </w:rPr>
                          <w:t>COHEN</w:t>
                        </w:r>
                      </w:p>
                    </w:txbxContent>
                  </v:textbox>
                  <w10:wrap type="none"/>
                </v:shape>
                <v:shape style="position:absolute;left:8985;top:-1949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Joshua Cohen is a Director in Fennemore’s </w:t>
      </w:r>
      <w:hyperlink r:id="rId8">
        <w:r>
          <w:rPr>
            <w:color w:val="F5821F"/>
          </w:rPr>
          <w:t>business litigation</w:t>
        </w:r>
      </w:hyperlink>
      <w:r>
        <w:rPr>
          <w:color w:val="F5821F"/>
        </w:rPr>
        <w:t> </w:t>
      </w:r>
      <w:r>
        <w:rPr>
          <w:color w:val="6E6158"/>
        </w:rPr>
        <w:t>practice group, working </w:t>
      </w:r>
      <w:r>
        <w:rPr>
          <w:color w:val="6E6158"/>
        </w:rPr>
        <w:t>closely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his</w:t>
      </w:r>
      <w:r>
        <w:rPr>
          <w:color w:val="6E6158"/>
          <w:spacing w:val="29"/>
        </w:rPr>
        <w:t> </w:t>
      </w:r>
      <w:r>
        <w:rPr>
          <w:color w:val="6E6158"/>
        </w:rPr>
        <w:t>clients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efficiently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effectively</w:t>
      </w:r>
      <w:r>
        <w:rPr>
          <w:color w:val="6E6158"/>
          <w:spacing w:val="29"/>
        </w:rPr>
        <w:t> </w:t>
      </w:r>
      <w:r>
        <w:rPr>
          <w:color w:val="6E6158"/>
        </w:rPr>
        <w:t>resolve</w:t>
      </w:r>
      <w:r>
        <w:rPr>
          <w:color w:val="6E6158"/>
          <w:spacing w:val="29"/>
        </w:rPr>
        <w:t> </w:t>
      </w:r>
      <w:r>
        <w:rPr>
          <w:color w:val="6E6158"/>
        </w:rPr>
        <w:t>their</w:t>
      </w:r>
      <w:r>
        <w:rPr>
          <w:color w:val="6E6158"/>
          <w:spacing w:val="29"/>
        </w:rPr>
        <w:t> </w:t>
      </w:r>
      <w:r>
        <w:rPr>
          <w:color w:val="6E6158"/>
        </w:rPr>
        <w:t>problems.</w:t>
      </w:r>
      <w:r>
        <w:rPr>
          <w:color w:val="6E6158"/>
          <w:spacing w:val="29"/>
        </w:rPr>
        <w:t> </w:t>
      </w:r>
      <w:r>
        <w:rPr>
          <w:color w:val="6E6158"/>
        </w:rPr>
        <w:t>Josh</w:t>
      </w:r>
      <w:r>
        <w:rPr>
          <w:color w:val="6E6158"/>
          <w:spacing w:val="29"/>
        </w:rPr>
        <w:t> </w:t>
      </w:r>
      <w:r>
        <w:rPr>
          <w:color w:val="6E6158"/>
        </w:rPr>
        <w:t>has</w:t>
      </w:r>
      <w:r>
        <w:rPr>
          <w:color w:val="6E6158"/>
          <w:spacing w:val="29"/>
        </w:rPr>
        <w:t> </w:t>
      </w:r>
      <w:r>
        <w:rPr>
          <w:color w:val="6E6158"/>
        </w:rPr>
        <w:t>extensive</w:t>
      </w:r>
      <w:r>
        <w:rPr>
          <w:color w:val="6E6158"/>
          <w:spacing w:val="29"/>
        </w:rPr>
        <w:t> </w:t>
      </w:r>
      <w:r>
        <w:rPr>
          <w:color w:val="6E6158"/>
        </w:rPr>
        <w:t>trial</w:t>
      </w:r>
    </w:p>
    <w:p>
      <w:pPr>
        <w:pStyle w:val="BodyText"/>
        <w:spacing w:line="295" w:lineRule="auto"/>
        <w:ind w:left="99" w:right="412"/>
      </w:pPr>
      <w:r>
        <w:rPr>
          <w:color w:val="6E6158"/>
        </w:rPr>
        <w:t>experience, litigating a full spectrum of commercial disputes, including partnership </w:t>
      </w:r>
      <w:r>
        <w:rPr>
          <w:color w:val="6E6158"/>
        </w:rPr>
        <w:t>“divorces,”</w:t>
      </w:r>
      <w:r>
        <w:rPr>
          <w:color w:val="6E6158"/>
          <w:spacing w:val="40"/>
        </w:rPr>
        <w:t> </w:t>
      </w:r>
      <w:r>
        <w:rPr>
          <w:color w:val="6E6158"/>
        </w:rPr>
        <w:t>trade secret matters, contract disputes, real estate, and technology matters.</w:t>
      </w:r>
      <w:r>
        <w:rPr>
          <w:color w:val="6E6158"/>
          <w:spacing w:val="80"/>
        </w:rPr>
        <w:t> </w:t>
      </w:r>
      <w:r>
        <w:rPr>
          <w:color w:val="6E6158"/>
        </w:rPr>
        <w:t>He is adept at addressing clients’ sophisticated litigation needs,</w:t>
      </w:r>
      <w:r>
        <w:rPr>
          <w:color w:val="6E6158"/>
          <w:spacing w:val="40"/>
        </w:rPr>
        <w:t> </w:t>
      </w:r>
      <w:r>
        <w:rPr>
          <w:color w:val="6E6158"/>
        </w:rPr>
        <w:t>representing clients in litigation prevention,</w:t>
      </w:r>
      <w:r>
        <w:rPr>
          <w:color w:val="6E6158"/>
          <w:spacing w:val="40"/>
        </w:rPr>
        <w:t> </w:t>
      </w:r>
      <w:r>
        <w:rPr>
          <w:color w:val="6E6158"/>
        </w:rPr>
        <w:t>mediation, arbitration, and trial in state and federal courts. He has a proven track record of</w:t>
      </w:r>
      <w:r>
        <w:rPr>
          <w:color w:val="6E6158"/>
          <w:spacing w:val="40"/>
        </w:rPr>
        <w:t> </w:t>
      </w:r>
      <w:r>
        <w:rPr>
          <w:color w:val="6E6158"/>
        </w:rPr>
        <w:t>success in high-stakes trials and arbitrations.</w:t>
      </w:r>
    </w:p>
    <w:p>
      <w:pPr>
        <w:pStyle w:val="BodyText"/>
        <w:spacing w:line="295" w:lineRule="auto" w:before="186"/>
        <w:ind w:left="99" w:right="577"/>
      </w:pPr>
      <w:r>
        <w:rPr>
          <w:color w:val="6E6158"/>
        </w:rPr>
        <w:t>Josh’s business litigation experience includes handling disputes regarding high-tech </w:t>
      </w:r>
      <w:r>
        <w:rPr>
          <w:color w:val="6E6158"/>
        </w:rPr>
        <w:t>product</w:t>
      </w:r>
      <w:r>
        <w:rPr>
          <w:color w:val="6E6158"/>
          <w:spacing w:val="40"/>
        </w:rPr>
        <w:t> </w:t>
      </w:r>
      <w:r>
        <w:rPr>
          <w:color w:val="6E6158"/>
        </w:rPr>
        <w:t>defects, indemnification and warranty, trademark, and copyright infringement, licensing,</w:t>
      </w:r>
      <w:r>
        <w:rPr>
          <w:color w:val="6E6158"/>
          <w:spacing w:val="40"/>
        </w:rPr>
        <w:t> </w:t>
      </w:r>
      <w:r>
        <w:rPr>
          <w:color w:val="6E6158"/>
        </w:rPr>
        <w:t>cannabis-real</w:t>
      </w:r>
      <w:r>
        <w:rPr>
          <w:color w:val="6E6158"/>
          <w:spacing w:val="26"/>
        </w:rPr>
        <w:t> </w:t>
      </w:r>
      <w:r>
        <w:rPr>
          <w:color w:val="6E6158"/>
        </w:rPr>
        <w:t>estate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business,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employment</w:t>
      </w:r>
      <w:r>
        <w:rPr>
          <w:color w:val="6E6158"/>
          <w:spacing w:val="26"/>
        </w:rPr>
        <w:t> </w:t>
      </w:r>
      <w:r>
        <w:rPr>
          <w:color w:val="6E6158"/>
        </w:rPr>
        <w:t>matters</w:t>
      </w:r>
      <w:r>
        <w:rPr>
          <w:color w:val="6E6158"/>
          <w:spacing w:val="26"/>
        </w:rPr>
        <w:t> </w:t>
      </w:r>
      <w:r>
        <w:rPr>
          <w:color w:val="6E6158"/>
        </w:rPr>
        <w:t>regarding</w:t>
      </w:r>
      <w:r>
        <w:rPr>
          <w:color w:val="6E6158"/>
          <w:spacing w:val="26"/>
        </w:rPr>
        <w:t> </w:t>
      </w:r>
      <w:r>
        <w:rPr>
          <w:color w:val="6E6158"/>
        </w:rPr>
        <w:t>non-compete,</w:t>
      </w:r>
      <w:r>
        <w:rPr>
          <w:color w:val="6E6158"/>
          <w:spacing w:val="26"/>
        </w:rPr>
        <w:t> </w:t>
      </w:r>
      <w:r>
        <w:rPr>
          <w:color w:val="6E6158"/>
        </w:rPr>
        <w:t>non-solicitation, and non-disclosure agreements.</w:t>
      </w:r>
    </w:p>
    <w:p>
      <w:pPr>
        <w:pStyle w:val="BodyText"/>
        <w:spacing w:line="297" w:lineRule="auto" w:before="196"/>
        <w:ind w:left="99" w:right="312"/>
        <w:jc w:val="both"/>
      </w:pPr>
      <w:r>
        <w:rPr>
          <w:color w:val="6E6158"/>
        </w:rPr>
        <w:t>Josh has represented major residential and commercial developers, as well as contractors and individuals in disputes regarding purchase and sale, brokers’ commissions, contractor licensing, non-disclosure/fraud/concealment actions, and land use issues.</w:t>
      </w:r>
    </w:p>
    <w:p>
      <w:pPr>
        <w:pStyle w:val="BodyText"/>
        <w:spacing w:line="292" w:lineRule="auto" w:before="192"/>
        <w:ind w:left="99" w:right="412"/>
      </w:pPr>
      <w:r>
        <w:rPr>
          <w:color w:val="6E6158"/>
        </w:rPr>
        <w:t>Josh represents cities, counties, special districts, and other public agencies, as well as </w:t>
      </w:r>
      <w:r>
        <w:rPr>
          <w:color w:val="6E6158"/>
        </w:rPr>
        <w:t>private</w:t>
      </w:r>
      <w:r>
        <w:rPr>
          <w:color w:val="6E6158"/>
          <w:spacing w:val="40"/>
        </w:rPr>
        <w:t> </w:t>
      </w:r>
      <w:r>
        <w:rPr>
          <w:color w:val="6E6158"/>
        </w:rPr>
        <w:t>clients</w:t>
      </w:r>
      <w:r>
        <w:rPr>
          <w:color w:val="6E6158"/>
          <w:spacing w:val="34"/>
        </w:rPr>
        <w:t> </w:t>
      </w:r>
      <w:r>
        <w:rPr>
          <w:color w:val="6E6158"/>
        </w:rPr>
        <w:t>throughout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state,</w:t>
      </w:r>
      <w:r>
        <w:rPr>
          <w:color w:val="6E6158"/>
          <w:spacing w:val="34"/>
        </w:rPr>
        <w:t> </w:t>
      </w:r>
      <w:r>
        <w:rPr>
          <w:color w:val="6E6158"/>
        </w:rPr>
        <w:t>in</w:t>
      </w:r>
      <w:r>
        <w:rPr>
          <w:color w:val="6E6158"/>
          <w:spacing w:val="34"/>
        </w:rPr>
        <w:t> </w:t>
      </w:r>
      <w:r>
        <w:rPr>
          <w:color w:val="6E6158"/>
        </w:rPr>
        <w:t>public</w:t>
      </w:r>
      <w:r>
        <w:rPr>
          <w:color w:val="6E6158"/>
          <w:spacing w:val="34"/>
        </w:rPr>
        <w:t> </w:t>
      </w:r>
      <w:r>
        <w:rPr>
          <w:color w:val="6E6158"/>
        </w:rPr>
        <w:t>acquisition</w:t>
      </w:r>
      <w:r>
        <w:rPr>
          <w:color w:val="6E6158"/>
          <w:spacing w:val="34"/>
        </w:rPr>
        <w:t> </w:t>
      </w:r>
      <w:r>
        <w:rPr>
          <w:color w:val="6E6158"/>
        </w:rPr>
        <w:t>(eminent</w:t>
      </w:r>
      <w:r>
        <w:rPr>
          <w:color w:val="6E6158"/>
          <w:spacing w:val="34"/>
        </w:rPr>
        <w:t> </w:t>
      </w:r>
      <w:r>
        <w:rPr>
          <w:color w:val="6E6158"/>
        </w:rPr>
        <w:t>domain)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similar</w:t>
      </w:r>
      <w:r>
        <w:rPr>
          <w:color w:val="6E6158"/>
          <w:spacing w:val="34"/>
        </w:rPr>
        <w:t> </w:t>
      </w:r>
      <w:r>
        <w:rPr>
          <w:color w:val="6E6158"/>
        </w:rPr>
        <w:t>matters.</w:t>
      </w:r>
    </w:p>
    <w:p>
      <w:pPr>
        <w:pStyle w:val="Heading1"/>
        <w:spacing w:before="170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California,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Davis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B.A.,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California,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Los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Angeles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rPr>
          <w:b/>
        </w:rPr>
      </w:pPr>
    </w:p>
    <w:p>
      <w:pPr>
        <w:pStyle w:val="BodyText"/>
        <w:spacing w:before="16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Intellectual</w:t>
      </w:r>
      <w:r>
        <w:rPr>
          <w:color w:val="6E6158"/>
          <w:spacing w:val="21"/>
          <w:sz w:val="19"/>
        </w:rPr>
        <w:t> </w:t>
      </w:r>
      <w:r>
        <w:rPr>
          <w:color w:val="6E6158"/>
          <w:spacing w:val="-2"/>
          <w:sz w:val="19"/>
        </w:rPr>
        <w:t>Property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Real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Estate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Eminent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Domain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Cannabis</w:t>
      </w:r>
      <w:r>
        <w:rPr>
          <w:color w:val="6E6158"/>
          <w:spacing w:val="18"/>
          <w:sz w:val="19"/>
        </w:rPr>
        <w:t> </w:t>
      </w:r>
      <w:r>
        <w:rPr>
          <w:color w:val="6E6158"/>
          <w:spacing w:val="-2"/>
          <w:sz w:val="19"/>
        </w:rPr>
        <w:t>Business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Obtained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$4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million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plus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verdict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client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partnership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dispute.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Defended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cannabis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against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competitor’s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unfair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competition</w:t>
      </w:r>
      <w:r>
        <w:rPr>
          <w:color w:val="6E6158"/>
          <w:spacing w:val="18"/>
          <w:sz w:val="19"/>
        </w:rPr>
        <w:t> </w:t>
      </w:r>
      <w:r>
        <w:rPr>
          <w:color w:val="6E6158"/>
          <w:spacing w:val="-2"/>
          <w:sz w:val="19"/>
        </w:rPr>
        <w:t>claim.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73" w:after="0"/>
        <w:ind w:left="99" w:right="665" w:firstLine="0"/>
        <w:jc w:val="left"/>
        <w:rPr>
          <w:sz w:val="19"/>
        </w:rPr>
      </w:pPr>
      <w:r>
        <w:rPr>
          <w:color w:val="6E6158"/>
          <w:sz w:val="19"/>
        </w:rPr>
        <w:t>Obtained jury verdict and attorneys’ fee award for mail processing company for wrongful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termination by customer.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Negotiated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clients’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favorable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pre-litigation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buy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out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partnership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305" w:firstLine="0"/>
        <w:jc w:val="left"/>
        <w:rPr>
          <w:sz w:val="19"/>
        </w:rPr>
      </w:pPr>
      <w:r>
        <w:rPr>
          <w:color w:val="6E6158"/>
          <w:sz w:val="19"/>
        </w:rPr>
        <w:t>Defeated hostile takeover of real estate partnership and negotiated favorable sale of its core</w:t>
      </w:r>
      <w:r>
        <w:rPr>
          <w:color w:val="6E6158"/>
          <w:spacing w:val="40"/>
          <w:sz w:val="19"/>
        </w:rPr>
        <w:t> </w:t>
      </w:r>
      <w:r>
        <w:rPr>
          <w:color w:val="6E6158"/>
          <w:spacing w:val="-2"/>
          <w:sz w:val="19"/>
        </w:rPr>
        <w:t>holdings.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2" w:after="0"/>
        <w:ind w:left="99" w:right="300" w:firstLine="0"/>
        <w:jc w:val="left"/>
        <w:rPr>
          <w:sz w:val="19"/>
        </w:rPr>
      </w:pPr>
      <w:r>
        <w:rPr>
          <w:color w:val="6E6158"/>
          <w:sz w:val="19"/>
        </w:rPr>
        <w:t>Successfully had receiver appointed in partnership dispute where clients were stonewalled </w:t>
      </w:r>
      <w:r>
        <w:rPr>
          <w:color w:val="6E6158"/>
          <w:sz w:val="19"/>
        </w:rPr>
        <w:t>by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50% partners.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3" w:after="0"/>
        <w:ind w:left="99" w:right="647" w:firstLine="0"/>
        <w:jc w:val="left"/>
        <w:rPr>
          <w:sz w:val="19"/>
        </w:rPr>
      </w:pPr>
      <w:r>
        <w:rPr>
          <w:color w:val="6E6158"/>
          <w:sz w:val="19"/>
        </w:rPr>
        <w:t>Defended international manufacturer and its U.S. subsidiaries against fraud and breach </w:t>
      </w:r>
      <w:r>
        <w:rPr>
          <w:color w:val="6E6158"/>
          <w:sz w:val="19"/>
        </w:rPr>
        <w:t>of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merger agreement claims in California state and federal courts.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1" w:after="0"/>
        <w:ind w:left="99" w:right="1251" w:firstLine="0"/>
        <w:jc w:val="left"/>
        <w:rPr>
          <w:sz w:val="19"/>
        </w:rPr>
      </w:pPr>
      <w:r>
        <w:rPr>
          <w:color w:val="6E6158"/>
          <w:sz w:val="19"/>
        </w:rPr>
        <w:t>Full defense verdict in jury trial for East Bay engineering firm accused of trade secret misappropriation and unfair competition.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4" w:after="0"/>
        <w:ind w:left="99" w:right="1156" w:firstLine="0"/>
        <w:jc w:val="left"/>
        <w:rPr>
          <w:sz w:val="19"/>
        </w:rPr>
      </w:pPr>
      <w:r>
        <w:rPr>
          <w:color w:val="6E6158"/>
          <w:sz w:val="19"/>
        </w:rPr>
        <w:t>Prosecuted fraud/product defect/breach of warranty action against computer </w:t>
      </w:r>
      <w:r>
        <w:rPr>
          <w:color w:val="6E6158"/>
          <w:sz w:val="19"/>
        </w:rPr>
        <w:t>chip manufacturer resulting in $7.1 million eve of trial settlement.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2" w:after="0"/>
        <w:ind w:left="99" w:right="416" w:firstLine="0"/>
        <w:jc w:val="left"/>
        <w:rPr>
          <w:sz w:val="19"/>
        </w:rPr>
      </w:pPr>
      <w:r>
        <w:rPr>
          <w:color w:val="6E6158"/>
          <w:sz w:val="19"/>
        </w:rPr>
        <w:t>Obtained substantial damages and attorneys’ fee award in involuntary dissolution action </w:t>
      </w:r>
      <w:r>
        <w:rPr>
          <w:color w:val="6E6158"/>
          <w:sz w:val="19"/>
        </w:rPr>
        <w:t>for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partners who were held hostage by managing member.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4" w:after="0"/>
        <w:ind w:left="99" w:right="412" w:firstLine="0"/>
        <w:jc w:val="left"/>
        <w:rPr>
          <w:sz w:val="19"/>
        </w:rPr>
      </w:pPr>
      <w:r>
        <w:rPr>
          <w:color w:val="6E6158"/>
          <w:sz w:val="19"/>
        </w:rPr>
        <w:t>Defeated restraining order and preliminary injunctions for terminated employees accused of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trade secret, breach of non-disclosure and non-compete agreements.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2" w:after="0"/>
        <w:ind w:left="99" w:right="276" w:firstLine="0"/>
        <w:jc w:val="left"/>
        <w:rPr>
          <w:sz w:val="19"/>
        </w:rPr>
      </w:pPr>
      <w:r>
        <w:rPr>
          <w:color w:val="6E6158"/>
          <w:sz w:val="19"/>
        </w:rPr>
        <w:t>Obtained verdict and attorneys’ fees award in bench trial for specific performance for one of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the country’s top five residential developers.</w:t>
      </w:r>
    </w:p>
    <w:p>
      <w:pPr>
        <w:pStyle w:val="BodyText"/>
        <w:spacing w:before="113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Northwest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Lawyers®</w:t>
      </w:r>
      <w:r>
        <w:rPr>
          <w:color w:val="6E6158"/>
          <w:sz w:val="19"/>
        </w:rPr>
        <w:t>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Top Rated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Litigation Attorney,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2022-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before="169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47"/>
        <w:ind w:left="99"/>
      </w:pPr>
      <w:r>
        <w:rPr>
          <w:color w:val="6E6158"/>
          <w:spacing w:val="-2"/>
        </w:rPr>
        <w:t>Articles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0" w:after="0"/>
        <w:ind w:left="99" w:right="1368" w:firstLine="0"/>
        <w:jc w:val="left"/>
        <w:rPr>
          <w:sz w:val="19"/>
        </w:rPr>
      </w:pPr>
      <w:r>
        <w:rPr>
          <w:color w:val="6E6158"/>
          <w:sz w:val="19"/>
        </w:rPr>
        <w:t>“US Patent and Trademark Office Stripped of Power to Deny Disparaging or </w:t>
      </w:r>
      <w:r>
        <w:rPr>
          <w:color w:val="6E6158"/>
          <w:sz w:val="19"/>
        </w:rPr>
        <w:t>Vulgar Trademarks,” The Recorder, April 2018</w:t>
      </w:r>
    </w:p>
    <w:p>
      <w:pPr>
        <w:pStyle w:val="ListParagraph"/>
        <w:spacing w:after="0" w:line="292" w:lineRule="auto"/>
        <w:jc w:val="left"/>
        <w:rPr>
          <w:sz w:val="19"/>
        </w:rPr>
        <w:sectPr>
          <w:pgSz w:w="12240" w:h="15840"/>
          <w:pgMar w:top="58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“Gold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Rush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Cannabis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Trademarks,”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Marijuana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Venture,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July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4"/>
          <w:sz w:val="19"/>
        </w:rPr>
        <w:t>2017</w:t>
      </w:r>
    </w:p>
    <w:p>
      <w:pPr>
        <w:pStyle w:val="BodyText"/>
        <w:spacing w:before="63"/>
      </w:pPr>
    </w:p>
    <w:p>
      <w:pPr>
        <w:pStyle w:val="BodyText"/>
        <w:ind w:left="99"/>
      </w:pPr>
      <w:r>
        <w:rPr>
          <w:color w:val="6E6158"/>
          <w:spacing w:val="-2"/>
        </w:rPr>
        <w:t>Presentations</w:t>
      </w:r>
    </w:p>
    <w:p>
      <w:pPr>
        <w:pStyle w:val="BodyText"/>
        <w:spacing w:before="22"/>
      </w:pPr>
    </w:p>
    <w:p>
      <w:pPr>
        <w:pStyle w:val="ListParagraph"/>
        <w:numPr>
          <w:ilvl w:val="0"/>
          <w:numId w:val="1"/>
        </w:numPr>
        <w:tabs>
          <w:tab w:pos="272" w:val="left" w:leader="none"/>
        </w:tabs>
        <w:spacing w:line="240" w:lineRule="auto" w:before="1" w:after="0"/>
        <w:ind w:left="272" w:right="0" w:hanging="173"/>
        <w:jc w:val="left"/>
        <w:rPr>
          <w:sz w:val="19"/>
        </w:rPr>
      </w:pPr>
      <w:r>
        <w:rPr>
          <w:color w:val="6E6158"/>
          <w:sz w:val="19"/>
        </w:rPr>
        <w:t>Council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One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Advisors,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Protecting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Your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Trade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Secrets,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April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ListParagraph"/>
        <w:numPr>
          <w:ilvl w:val="0"/>
          <w:numId w:val="1"/>
        </w:numPr>
        <w:tabs>
          <w:tab w:pos="272" w:val="left" w:leader="none"/>
        </w:tabs>
        <w:spacing w:line="240" w:lineRule="auto" w:before="174" w:after="0"/>
        <w:ind w:left="272" w:right="0" w:hanging="173"/>
        <w:jc w:val="left"/>
        <w:rPr>
          <w:sz w:val="19"/>
        </w:rPr>
      </w:pPr>
      <w:r>
        <w:rPr>
          <w:color w:val="6E6158"/>
          <w:sz w:val="19"/>
        </w:rPr>
        <w:t>International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Right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Way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Association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“Annual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Legal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Update,”,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2019-</w:t>
      </w:r>
      <w:r>
        <w:rPr>
          <w:color w:val="6E6158"/>
          <w:spacing w:val="-4"/>
          <w:sz w:val="19"/>
        </w:rPr>
        <w:t>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Council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One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Advisors,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Countdown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Trial,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January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4"/>
          <w:sz w:val="19"/>
        </w:rPr>
        <w:t>2023</w:t>
      </w:r>
    </w:p>
    <w:p>
      <w:pPr>
        <w:pStyle w:val="ListParagraph"/>
        <w:numPr>
          <w:ilvl w:val="0"/>
          <w:numId w:val="1"/>
        </w:numPr>
        <w:tabs>
          <w:tab w:pos="272" w:val="left" w:leader="none"/>
        </w:tabs>
        <w:spacing w:line="302" w:lineRule="auto" w:before="173" w:after="0"/>
        <w:ind w:left="99" w:right="326" w:firstLine="0"/>
        <w:jc w:val="left"/>
        <w:rPr>
          <w:sz w:val="19"/>
        </w:rPr>
      </w:pPr>
      <w:r>
        <w:rPr>
          <w:color w:val="6E6158"/>
          <w:sz w:val="19"/>
        </w:rPr>
        <w:t>International Right of Way Association Chapters 2 &amp; 42 “Can Appraisers Still Reply on Hearsay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After the Sanchez and Stamps Decisions?,”April 2020</w:t>
      </w:r>
    </w:p>
    <w:p>
      <w:pPr>
        <w:pStyle w:val="ListParagraph"/>
        <w:numPr>
          <w:ilvl w:val="0"/>
          <w:numId w:val="1"/>
        </w:numPr>
        <w:tabs>
          <w:tab w:pos="272" w:val="left" w:leader="none"/>
        </w:tabs>
        <w:spacing w:line="240" w:lineRule="auto" w:before="113" w:after="0"/>
        <w:ind w:left="272" w:right="0" w:hanging="173"/>
        <w:jc w:val="left"/>
        <w:rPr>
          <w:sz w:val="19"/>
        </w:rPr>
      </w:pPr>
      <w:r>
        <w:rPr>
          <w:color w:val="6E6158"/>
          <w:sz w:val="19"/>
        </w:rPr>
        <w:t>Wendel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Rosen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LLP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“Saving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Your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Assets,”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Wendel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Rosen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LLP,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May</w:t>
      </w:r>
      <w:r>
        <w:rPr>
          <w:color w:val="6E6158"/>
          <w:spacing w:val="5"/>
          <w:sz w:val="19"/>
        </w:rPr>
        <w:t> </w:t>
      </w:r>
      <w:r>
        <w:rPr>
          <w:color w:val="6E6158"/>
          <w:spacing w:val="-4"/>
          <w:sz w:val="19"/>
        </w:rPr>
        <w:t>2019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Intellectual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Property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Section,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Contra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Costa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County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Former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Chair,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Litigation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Section,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Contra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Costa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County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International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Right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Way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Alameda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County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Board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Directors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East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Bay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Chair,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CouncilONE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Advisors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Courts,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Eastern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Courts,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Northern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Appeals,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Ninth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6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2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8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4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6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2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8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4"/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jcohen@fennemorelaw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 Cohen - Fennemore</dc:title>
  <dcterms:created xsi:type="dcterms:W3CDTF">2026-06-05T13:55:11Z</dcterms:created>
  <dcterms:modified xsi:type="dcterms:W3CDTF">2026-06-05T13:55:11Z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