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-3706182</wp:posOffset>
                </wp:positionV>
                <wp:extent cx="6071870" cy="36379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637915"/>
                          <a:chExt cx="6071870" cy="36379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Kate Bowles Bio NEW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3690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36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369310">
                                <a:moveTo>
                                  <a:pt x="3033212" y="3369087"/>
                                </a:moveTo>
                                <a:lnTo>
                                  <a:pt x="0" y="336908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369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72784" y="763308"/>
                            <a:ext cx="15748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KATHERINE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A. BOWLES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159767" y="2133494"/>
                            <a:ext cx="800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949.752.0953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394234" y="2603719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582320" y="2763876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750778" y="2763876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949.752.0953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10650" y="2975766"/>
                            <a:ext cx="14992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kbowles@fennemorelaw.com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91.825378pt;width:478.1pt;height:286.45pt;mso-position-horizontal-relative:page;mso-position-vertical-relative:paragraph;z-index:15728640" id="docshapegroup1" coordorigin="1336,-5837" coordsize="9562,5729">
                <v:shape style="position:absolute;left:1336;top:-5837;width:2165;height:424" type="#_x0000_t75" id="docshape2" alt="Fennemore" href="https://www.fennemorelaw.com/" stroked="false">
                  <v:imagedata r:id="rId5" o:title=""/>
                </v:shape>
                <v:shape style="position:absolute;left:1336;top:-5414;width:4785;height:5306" type="#_x0000_t75" id="docshape3" alt="Kate Bowles Bio NEW" stroked="false">
                  <v:imagedata r:id="rId7" o:title=""/>
                </v:shape>
                <v:rect style="position:absolute;left:6121;top:-5414;width:4777;height:5306" id="docshape4" filled="true" fillcolor="#262424" stroked="false">
                  <v:fill type="solid"/>
                </v:rect>
                <v:shape style="position:absolute;left:6837;top:-3249;width:3337;height:505" id="docshape5" coordorigin="6837,-3249" coordsize="3337,505" path="m10174,-2752l6837,-2752,6837,-2744,10174,-2744,10174,-2752xm10174,-3249l6837,-3249,6837,-3241,10174,-3241,10174,-3249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77;top:-4635;width:248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KATHERINE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A. BOWLES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887;top:-2477;width:126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2225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949.430.3437</w:t>
                        </w:r>
                      </w:p>
                    </w:txbxContent>
                  </v:textbox>
                  <w10:wrap type="none"/>
                </v:shape>
                <v:shape style="position:absolute;left:8817;top:-2225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949.752.0953</w:t>
                        </w:r>
                      </w:p>
                    </w:txbxContent>
                  </v:textbox>
                  <w10:wrap type="none"/>
                </v:shape>
                <v:shape style="position:absolute;left:8256;top:-1737;width:522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84;width:1258;height:210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949.430.3437</w:t>
                        </w:r>
                      </w:p>
                    </w:txbxContent>
                  </v:textbox>
                  <w10:wrap type="none"/>
                </v:shape>
                <v:shape style="position:absolute;left:8817;top:-1484;width:1240;height:210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949.752.0953</w:t>
                        </w:r>
                      </w:p>
                    </w:txbxContent>
                  </v:textbox>
                  <w10:wrap type="none"/>
                </v:shape>
                <v:shape style="position:absolute;left:7337;top:-1151;width:2361;height:200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kbowles@fennemorelaw.com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KATHERINE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BOWLES</w:t>
      </w:r>
    </w:p>
    <w:p>
      <w:pPr>
        <w:pStyle w:val="BodyText"/>
        <w:spacing w:line="295" w:lineRule="auto" w:before="147"/>
        <w:ind w:right="122"/>
      </w:pPr>
      <w:r>
        <w:rPr>
          <w:color w:val="6E6158"/>
        </w:rPr>
        <w:t>Kate Bowle’s law practice focuses on providing business solutions, including preventive and</w:t>
      </w:r>
      <w:r>
        <w:rPr>
          <w:color w:val="6E6158"/>
          <w:spacing w:val="40"/>
        </w:rPr>
        <w:t> </w:t>
      </w:r>
      <w:r>
        <w:rPr>
          <w:color w:val="6E6158"/>
        </w:rPr>
        <w:t>litigation strategies for health organizations, such as companies with large healthcare networks.</w:t>
      </w:r>
      <w:r>
        <w:rPr>
          <w:color w:val="6E6158"/>
          <w:spacing w:val="40"/>
        </w:rPr>
        <w:t> </w:t>
      </w:r>
      <w:r>
        <w:rPr>
          <w:color w:val="6E6158"/>
        </w:rPr>
        <w:t>Kate</w:t>
      </w:r>
      <w:r>
        <w:rPr>
          <w:color w:val="6E6158"/>
          <w:spacing w:val="26"/>
        </w:rPr>
        <w:t> </w:t>
      </w:r>
      <w:r>
        <w:rPr>
          <w:color w:val="6E6158"/>
        </w:rPr>
        <w:t>has</w:t>
      </w:r>
      <w:r>
        <w:rPr>
          <w:color w:val="6E6158"/>
          <w:spacing w:val="26"/>
        </w:rPr>
        <w:t> </w:t>
      </w:r>
      <w:r>
        <w:rPr>
          <w:color w:val="6E6158"/>
        </w:rPr>
        <w:t>spent</w:t>
      </w:r>
      <w:r>
        <w:rPr>
          <w:color w:val="6E6158"/>
          <w:spacing w:val="26"/>
        </w:rPr>
        <w:t> </w:t>
      </w:r>
      <w:r>
        <w:rPr>
          <w:color w:val="6E6158"/>
        </w:rPr>
        <w:t>15</w:t>
      </w:r>
      <w:r>
        <w:rPr>
          <w:color w:val="6E6158"/>
          <w:spacing w:val="26"/>
        </w:rPr>
        <w:t> </w:t>
      </w:r>
      <w:r>
        <w:rPr>
          <w:color w:val="6E6158"/>
        </w:rPr>
        <w:t>years</w:t>
      </w:r>
      <w:r>
        <w:rPr>
          <w:color w:val="6E6158"/>
          <w:spacing w:val="26"/>
        </w:rPr>
        <w:t> </w:t>
      </w:r>
      <w:r>
        <w:rPr>
          <w:color w:val="6E6158"/>
        </w:rPr>
        <w:t>immersed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legalities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our</w:t>
      </w:r>
      <w:r>
        <w:rPr>
          <w:color w:val="6E6158"/>
          <w:spacing w:val="26"/>
        </w:rPr>
        <w:t> </w:t>
      </w:r>
      <w:r>
        <w:rPr>
          <w:color w:val="6E6158"/>
        </w:rPr>
        <w:t>federal,</w:t>
      </w:r>
      <w:r>
        <w:rPr>
          <w:color w:val="6E6158"/>
          <w:spacing w:val="26"/>
        </w:rPr>
        <w:t> </w:t>
      </w:r>
      <w:r>
        <w:rPr>
          <w:color w:val="6E6158"/>
        </w:rPr>
        <w:t>state,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local</w:t>
      </w:r>
      <w:r>
        <w:rPr>
          <w:color w:val="6E6158"/>
          <w:spacing w:val="26"/>
        </w:rPr>
        <w:t> </w:t>
      </w:r>
      <w:r>
        <w:rPr>
          <w:color w:val="6E6158"/>
        </w:rPr>
        <w:t>infrastructure and has touched on almost every subject within healthcare. During and before law school, Kate</w:t>
      </w:r>
      <w:r>
        <w:rPr>
          <w:color w:val="6E6158"/>
          <w:spacing w:val="40"/>
        </w:rPr>
        <w:t> </w:t>
      </w:r>
      <w:r>
        <w:rPr>
          <w:color w:val="6E6158"/>
        </w:rPr>
        <w:t>worked as a Registered Nurse in hospitals throughout Los Angeles County and helped manage a</w:t>
      </w:r>
      <w:r>
        <w:rPr>
          <w:color w:val="6E6158"/>
          <w:spacing w:val="40"/>
        </w:rPr>
        <w:t> </w:t>
      </w:r>
      <w:r>
        <w:rPr>
          <w:color w:val="6E6158"/>
        </w:rPr>
        <w:t>60-bed unit in an acute care hospital.</w:t>
      </w:r>
    </w:p>
    <w:p>
      <w:pPr>
        <w:pStyle w:val="BodyText"/>
        <w:spacing w:line="295" w:lineRule="auto" w:before="193"/>
        <w:ind w:right="338"/>
      </w:pPr>
      <w:r>
        <w:rPr>
          <w:color w:val="6E6158"/>
        </w:rPr>
        <w:t>Kate puts her clients first. Assisting clients with compliance, investigation, and enforcement of</w:t>
      </w:r>
      <w:r>
        <w:rPr>
          <w:color w:val="6E6158"/>
          <w:spacing w:val="40"/>
        </w:rPr>
        <w:t> </w:t>
      </w:r>
      <w:r>
        <w:rPr>
          <w:color w:val="6E6158"/>
        </w:rPr>
        <w:t>Medicare/Medi-Cal Fraud and Abuse, Stark Law\Anti-Kickback Statute, payor disputes, and</w:t>
      </w:r>
      <w:r>
        <w:rPr>
          <w:color w:val="6E6158"/>
          <w:spacing w:val="40"/>
        </w:rPr>
        <w:t> </w:t>
      </w:r>
      <w:r>
        <w:rPr>
          <w:color w:val="6E6158"/>
        </w:rPr>
        <w:t>business litigation, she has a passion for helping clients see the big picture within their organization and attempts to address compliance issues before they arise. Her </w:t>
      </w:r>
      <w:r>
        <w:rPr>
          <w:color w:val="6E6158"/>
        </w:rPr>
        <w:t>representations</w:t>
      </w:r>
      <w:r>
        <w:rPr>
          <w:color w:val="6E6158"/>
          <w:spacing w:val="40"/>
        </w:rPr>
        <w:t> </w:t>
      </w:r>
      <w:r>
        <w:rPr>
          <w:color w:val="6E6158"/>
        </w:rPr>
        <w:t>have focused on everything from impact litigation to corrective legislation to negotiating new</w:t>
      </w:r>
      <w:r>
        <w:rPr>
          <w:color w:val="6E6158"/>
          <w:spacing w:val="40"/>
        </w:rPr>
        <w:t> </w:t>
      </w:r>
      <w:r>
        <w:rPr>
          <w:color w:val="6E6158"/>
        </w:rPr>
        <w:t>contracts to achieving early settlement outside of court. When necessary, Kate takes matters</w:t>
      </w:r>
      <w:r>
        <w:rPr>
          <w:color w:val="6E6158"/>
          <w:spacing w:val="40"/>
        </w:rPr>
        <w:t> </w:t>
      </w:r>
      <w:r>
        <w:rPr>
          <w:color w:val="6E6158"/>
        </w:rPr>
        <w:t>through trial and up on appeal. Many of Kate’s clients are nontraditional; for example, she has</w:t>
      </w:r>
      <w:r>
        <w:rPr>
          <w:color w:val="6E6158"/>
          <w:spacing w:val="40"/>
        </w:rPr>
        <w:t> </w:t>
      </w:r>
      <w:r>
        <w:rPr>
          <w:color w:val="6E6158"/>
        </w:rPr>
        <w:t>helped</w:t>
      </w:r>
      <w:r>
        <w:rPr>
          <w:color w:val="6E6158"/>
          <w:spacing w:val="40"/>
        </w:rPr>
        <w:t> </w:t>
      </w:r>
      <w:r>
        <w:rPr>
          <w:color w:val="6E6158"/>
        </w:rPr>
        <w:t>many</w:t>
      </w:r>
      <w:r>
        <w:rPr>
          <w:color w:val="6E6158"/>
          <w:spacing w:val="40"/>
        </w:rPr>
        <w:t> </w:t>
      </w:r>
      <w:r>
        <w:rPr>
          <w:color w:val="6E6158"/>
        </w:rPr>
        <w:t>organizations</w:t>
      </w:r>
      <w:r>
        <w:rPr>
          <w:color w:val="6E6158"/>
          <w:spacing w:val="40"/>
        </w:rPr>
        <w:t> </w:t>
      </w:r>
      <w:r>
        <w:rPr>
          <w:color w:val="6E6158"/>
        </w:rPr>
        <w:t>structure</w:t>
      </w:r>
      <w:r>
        <w:rPr>
          <w:color w:val="6E6158"/>
          <w:spacing w:val="40"/>
        </w:rPr>
        <w:t> </w:t>
      </w:r>
      <w:r>
        <w:rPr>
          <w:color w:val="6E6158"/>
        </w:rPr>
        <w:t>compliant</w:t>
      </w:r>
      <w:r>
        <w:rPr>
          <w:color w:val="6E6158"/>
          <w:spacing w:val="40"/>
        </w:rPr>
        <w:t> </w:t>
      </w:r>
      <w:r>
        <w:rPr>
          <w:color w:val="6E6158"/>
        </w:rPr>
        <w:t>programs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California’s</w:t>
      </w:r>
      <w:r>
        <w:rPr>
          <w:color w:val="6E6158"/>
          <w:spacing w:val="40"/>
        </w:rPr>
        <w:t> </w:t>
      </w:r>
      <w:r>
        <w:rPr>
          <w:color w:val="6E6158"/>
        </w:rPr>
        <w:t>whole-person-centered care program through Medi-Cal. Representing a diversity of providers allows Kate to</w:t>
      </w:r>
      <w:r>
        <w:rPr>
          <w:color w:val="6E6158"/>
          <w:spacing w:val="40"/>
        </w:rPr>
        <w:t> </w:t>
      </w:r>
      <w:r>
        <w:rPr>
          <w:color w:val="6E6158"/>
        </w:rPr>
        <w:t>effectively evaluate the motivations of various participants within the healthcare industry and</w:t>
      </w:r>
      <w:r>
        <w:rPr>
          <w:color w:val="6E6158"/>
          <w:spacing w:val="40"/>
        </w:rPr>
        <w:t> </w:t>
      </w:r>
      <w:r>
        <w:rPr>
          <w:color w:val="6E6158"/>
        </w:rPr>
        <w:t>take advantage of emerging trends. Kate is also versed in artificial intelligence and uses these</w:t>
      </w:r>
      <w:r>
        <w:rPr>
          <w:color w:val="6E6158"/>
          <w:spacing w:val="40"/>
        </w:rPr>
        <w:t> </w:t>
      </w:r>
      <w:r>
        <w:rPr>
          <w:color w:val="6E6158"/>
        </w:rPr>
        <w:t>tools efficiently and confidentially to handle her clients’ needs.</w:t>
      </w:r>
    </w:p>
    <w:p>
      <w:pPr>
        <w:pStyle w:val="BodyText"/>
        <w:spacing w:line="292" w:lineRule="auto" w:before="207"/>
        <w:ind w:right="397"/>
      </w:pPr>
      <w:r>
        <w:rPr>
          <w:color w:val="6E6158"/>
        </w:rPr>
        <w:t>She is licensed throughout California, including the U.S. District Courts for the Eastern, </w:t>
      </w:r>
      <w:r>
        <w:rPr>
          <w:color w:val="6E6158"/>
        </w:rPr>
        <w:t>Central,</w:t>
      </w:r>
      <w:r>
        <w:rPr>
          <w:color w:val="6E6158"/>
          <w:spacing w:val="40"/>
        </w:rPr>
        <w:t> </w:t>
      </w:r>
      <w:r>
        <w:rPr>
          <w:color w:val="6E6158"/>
        </w:rPr>
        <w:t>and Southern Districts of California and the Ninth Circuit Court of Appeal.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8"/>
        </w:rPr>
        <w:t> </w:t>
      </w:r>
      <w:r>
        <w:rPr>
          <w:color w:val="6E6158"/>
        </w:rPr>
        <w:t>Pepperdine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1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80"/>
      </w:pPr>
      <w:r>
        <w:rPr>
          <w:color w:val="6E6158"/>
        </w:rPr>
        <w:t>B.S.N.,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Pennsylvania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2" w:lineRule="auto" w:before="83"/>
        <w:ind w:right="7636"/>
      </w:pPr>
      <w:r>
        <w:rPr>
          <w:color w:val="6E6158"/>
        </w:rPr>
        <w:t>Business </w:t>
      </w:r>
      <w:r>
        <w:rPr>
          <w:color w:val="6E6158"/>
        </w:rPr>
        <w:t>Litigation Health Care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ERISA</w:t>
      </w:r>
    </w:p>
    <w:p>
      <w:pPr>
        <w:pStyle w:val="Heading1"/>
        <w:spacing w:before="28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Host and Moderator, “U.S. Department of Education’s Notice of Proposed Rulemaking on 34 CFR</w:t>
      </w:r>
      <w:r>
        <w:rPr>
          <w:color w:val="6E6158"/>
          <w:spacing w:val="40"/>
        </w:rPr>
        <w:t> </w:t>
      </w:r>
      <w:r>
        <w:rPr>
          <w:color w:val="6E6158"/>
        </w:rPr>
        <w:t>Parts</w:t>
      </w:r>
      <w:r>
        <w:rPr>
          <w:color w:val="6E6158"/>
          <w:spacing w:val="27"/>
        </w:rPr>
        <w:t> </w:t>
      </w:r>
      <w:r>
        <w:rPr>
          <w:color w:val="6E6158"/>
        </w:rPr>
        <w:t>674,</w:t>
      </w:r>
      <w:r>
        <w:rPr>
          <w:color w:val="6E6158"/>
          <w:spacing w:val="27"/>
        </w:rPr>
        <w:t> </w:t>
      </w:r>
      <w:r>
        <w:rPr>
          <w:color w:val="6E6158"/>
        </w:rPr>
        <w:t>682,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685,”</w:t>
      </w:r>
      <w:r>
        <w:rPr>
          <w:color w:val="6E6158"/>
          <w:spacing w:val="27"/>
        </w:rPr>
        <w:t> </w:t>
      </w:r>
      <w:r>
        <w:rPr>
          <w:color w:val="6E6158"/>
        </w:rPr>
        <w:t>American</w:t>
      </w:r>
      <w:r>
        <w:rPr>
          <w:color w:val="6E6158"/>
          <w:spacing w:val="27"/>
        </w:rPr>
        <w:t> </w:t>
      </w:r>
      <w:r>
        <w:rPr>
          <w:color w:val="6E6158"/>
        </w:rPr>
        <w:t>Bar</w:t>
      </w:r>
      <w:r>
        <w:rPr>
          <w:color w:val="6E6158"/>
          <w:spacing w:val="27"/>
        </w:rPr>
        <w:t> </w:t>
      </w:r>
      <w:r>
        <w:rPr>
          <w:color w:val="6E6158"/>
        </w:rPr>
        <w:t>Association</w:t>
      </w:r>
      <w:r>
        <w:rPr>
          <w:color w:val="6E6158"/>
          <w:spacing w:val="27"/>
        </w:rPr>
        <w:t> </w:t>
      </w:r>
      <w:r>
        <w:rPr>
          <w:color w:val="6E6158"/>
        </w:rPr>
        <w:t>Health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Section</w:t>
      </w:r>
      <w:r>
        <w:rPr>
          <w:color w:val="6E6158"/>
          <w:spacing w:val="27"/>
        </w:rPr>
        <w:t> </w:t>
      </w:r>
      <w:r>
        <w:rPr>
          <w:color w:val="6E6158"/>
        </w:rPr>
        <w:t>panel,</w:t>
      </w:r>
      <w:r>
        <w:rPr>
          <w:color w:val="6E6158"/>
          <w:spacing w:val="27"/>
        </w:rPr>
        <w:t> </w:t>
      </w:r>
      <w:r>
        <w:rPr>
          <w:color w:val="6E6158"/>
        </w:rPr>
        <w:t>March</w:t>
      </w:r>
      <w:r>
        <w:rPr>
          <w:color w:val="6E6158"/>
          <w:spacing w:val="27"/>
        </w:rPr>
        <w:t> </w:t>
      </w:r>
      <w:r>
        <w:rPr>
          <w:color w:val="6E6158"/>
        </w:rPr>
        <w:t>31,</w:t>
      </w:r>
      <w:r>
        <w:rPr>
          <w:color w:val="6E6158"/>
          <w:spacing w:val="27"/>
        </w:rPr>
        <w:t> </w:t>
      </w:r>
      <w:r>
        <w:rPr>
          <w:color w:val="6E6158"/>
        </w:rPr>
        <w:t>2026</w:t>
      </w:r>
    </w:p>
    <w:p>
      <w:pPr>
        <w:pStyle w:val="BodyText"/>
        <w:spacing w:line="302" w:lineRule="auto" w:before="123"/>
      </w:pPr>
      <w:r>
        <w:rPr>
          <w:color w:val="6E6158"/>
        </w:rPr>
        <w:t>Speaker, “Legal Aspects of Anesthesiology,”</w:t>
      </w:r>
      <w:r>
        <w:rPr>
          <w:color w:val="6E6158"/>
          <w:spacing w:val="40"/>
        </w:rPr>
        <w:t> </w:t>
      </w:r>
      <w:r>
        <w:rPr>
          <w:color w:val="6E6158"/>
        </w:rPr>
        <w:t>Washington Association of Nurse </w:t>
      </w:r>
      <w:r>
        <w:rPr>
          <w:color w:val="6E6158"/>
        </w:rPr>
        <w:t>Anesthesiology, Bellingham, Washington, March 28, 2026</w:t>
      </w:r>
    </w:p>
    <w:p>
      <w:pPr>
        <w:pStyle w:val="BodyText"/>
        <w:spacing w:before="113"/>
      </w:pPr>
      <w:r>
        <w:rPr>
          <w:color w:val="6E6158"/>
        </w:rPr>
        <w:t>Co-Speaker,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Assemblymember</w:t>
      </w:r>
      <w:r>
        <w:rPr>
          <w:color w:val="6E6158"/>
          <w:spacing w:val="12"/>
        </w:rPr>
        <w:t> </w:t>
      </w:r>
      <w:r>
        <w:rPr>
          <w:color w:val="6E6158"/>
        </w:rPr>
        <w:t>Flora,</w:t>
      </w:r>
      <w:r>
        <w:rPr>
          <w:color w:val="6E6158"/>
          <w:spacing w:val="11"/>
        </w:rPr>
        <w:t> </w:t>
      </w:r>
      <w:r>
        <w:rPr>
          <w:color w:val="6E6158"/>
        </w:rPr>
        <w:t>“The</w:t>
      </w:r>
      <w:r>
        <w:rPr>
          <w:color w:val="6E6158"/>
          <w:spacing w:val="11"/>
        </w:rPr>
        <w:t> </w:t>
      </w:r>
      <w:r>
        <w:rPr>
          <w:color w:val="6E6158"/>
        </w:rPr>
        <w:t>Facts</w:t>
      </w:r>
      <w:r>
        <w:rPr>
          <w:color w:val="6E6158"/>
          <w:spacing w:val="12"/>
        </w:rPr>
        <w:t> </w:t>
      </w:r>
      <w:r>
        <w:rPr>
          <w:color w:val="6E6158"/>
        </w:rPr>
        <w:t>About</w:t>
      </w:r>
      <w:r>
        <w:rPr>
          <w:color w:val="6E6158"/>
          <w:spacing w:val="11"/>
        </w:rPr>
        <w:t> </w:t>
      </w:r>
      <w:r>
        <w:rPr>
          <w:color w:val="6E6158"/>
        </w:rPr>
        <w:t>AB</w:t>
      </w:r>
      <w:r>
        <w:rPr>
          <w:color w:val="6E6158"/>
          <w:spacing w:val="12"/>
        </w:rPr>
        <w:t> </w:t>
      </w:r>
      <w:r>
        <w:rPr>
          <w:color w:val="6E6158"/>
        </w:rPr>
        <w:t>876,”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28,</w:t>
      </w:r>
      <w:r>
        <w:rPr>
          <w:color w:val="6E6158"/>
          <w:spacing w:val="12"/>
        </w:rPr>
        <w:t> </w:t>
      </w:r>
      <w:r>
        <w:rPr>
          <w:color w:val="6E6158"/>
        </w:rPr>
        <w:t>2026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Webinar.</w:t>
      </w:r>
    </w:p>
    <w:p>
      <w:pPr>
        <w:pStyle w:val="BodyText"/>
        <w:spacing w:line="292" w:lineRule="auto" w:before="174"/>
        <w:ind w:right="397"/>
      </w:pPr>
      <w:r>
        <w:rPr>
          <w:color w:val="6E6158"/>
        </w:rPr>
        <w:t>Speaker, “Lessons Learned: Health Plan Litigation for Fraudulent Mommy Makeovers,” </w:t>
      </w:r>
      <w:r>
        <w:rPr>
          <w:color w:val="6E6158"/>
        </w:rPr>
        <w:t>January 22, 2026, Health Benefits Conference and Expo, Jacksonville, Florida.</w:t>
      </w:r>
    </w:p>
    <w:p>
      <w:pPr>
        <w:pStyle w:val="BodyText"/>
        <w:spacing w:line="292" w:lineRule="auto" w:before="131"/>
      </w:pPr>
      <w:r>
        <w:rPr>
          <w:color w:val="6E6158"/>
        </w:rPr>
        <w:t>Speaker, USC Keck School of Medicine Program of Nurse Anesthesiology, November 5, 2025, Los</w:t>
      </w:r>
      <w:r>
        <w:rPr>
          <w:color w:val="6E6158"/>
          <w:spacing w:val="40"/>
        </w:rPr>
        <w:t> </w:t>
      </w:r>
      <w:r>
        <w:rPr>
          <w:color w:val="6E6158"/>
        </w:rPr>
        <w:t>Angeles, California.</w:t>
      </w:r>
    </w:p>
    <w:p>
      <w:pPr>
        <w:pStyle w:val="BodyText"/>
        <w:spacing w:line="302" w:lineRule="auto" w:before="124"/>
        <w:ind w:right="397"/>
      </w:pPr>
      <w:r>
        <w:rPr>
          <w:color w:val="6E6158"/>
        </w:rPr>
        <w:t>Speaker, “The Anatomy of a California Hit Job and Resulting Crisis of Confidence,” CANA Western States Regional Anesthesia Seminar, October 4, 2025, Las Vegas, Nevada.</w:t>
      </w:r>
    </w:p>
    <w:p>
      <w:pPr>
        <w:pStyle w:val="BodyText"/>
        <w:spacing w:line="292" w:lineRule="auto" w:before="112"/>
        <w:ind w:right="419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U.S. Healthcare in OBBBA: A Patchwork of Big Changes</w:t>
        </w:r>
      </w:hyperlink>
      <w:r>
        <w:rPr>
          <w:color w:val="6E6158"/>
        </w:rPr>
        <w:t>,” Fennemore Blog, August 19,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24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Federal and California’s Shared Interest in Promoting Open Competition: Isn’t it Ironic?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Fennemore Blog, July 31, 2025</w:t>
      </w:r>
    </w:p>
    <w:p>
      <w:pPr>
        <w:pStyle w:val="BodyText"/>
        <w:spacing w:line="292" w:lineRule="auto" w:before="113"/>
        <w:ind w:right="122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California’s Bold Experiment with Whole-Person Centered Care: Has it </w:t>
        </w:r>
        <w:r>
          <w:rPr>
            <w:color w:val="F5821F"/>
          </w:rPr>
          <w:t>Worked?</w:t>
        </w:r>
      </w:hyperlink>
      <w:r>
        <w:rPr>
          <w:color w:val="6E6158"/>
        </w:rPr>
        <w:t>,” Fennemore Blog, June 11, 2025</w:t>
      </w:r>
    </w:p>
    <w:p>
      <w:pPr>
        <w:pStyle w:val="BodyText"/>
        <w:spacing w:line="302" w:lineRule="auto" w:before="123"/>
        <w:ind w:right="397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We Are Almost Back to Normal Post-COVID, Except When it Comes to Nurse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Staffing</w:t>
        </w:r>
      </w:hyperlink>
      <w:r>
        <w:rPr>
          <w:color w:val="6E6158"/>
        </w:rPr>
        <w:t>,” Fennemore Blog, April 29, 2025</w:t>
      </w:r>
    </w:p>
    <w:p>
      <w:pPr>
        <w:pStyle w:val="BodyText"/>
        <w:spacing w:before="113"/>
      </w:pPr>
      <w:r>
        <w:rPr>
          <w:color w:val="6E6158"/>
        </w:rPr>
        <w:t>Author,</w:t>
      </w:r>
      <w:r>
        <w:rPr>
          <w:color w:val="6E6158"/>
          <w:spacing w:val="8"/>
        </w:rPr>
        <w:t> </w:t>
      </w:r>
      <w:r>
        <w:rPr>
          <w:color w:val="6E6158"/>
        </w:rPr>
        <w:t>“Nursing</w:t>
      </w:r>
      <w:r>
        <w:rPr>
          <w:color w:val="6E6158"/>
          <w:spacing w:val="8"/>
        </w:rPr>
        <w:t> </w:t>
      </w:r>
      <w:r>
        <w:rPr>
          <w:color w:val="6E6158"/>
        </w:rPr>
        <w:t>Impact</w:t>
      </w:r>
      <w:r>
        <w:rPr>
          <w:color w:val="6E6158"/>
          <w:spacing w:val="8"/>
        </w:rPr>
        <w:t> </w:t>
      </w:r>
      <w:r>
        <w:rPr>
          <w:color w:val="6E6158"/>
        </w:rPr>
        <w:t>Litigation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8"/>
        </w:rPr>
        <w:t> </w:t>
      </w:r>
      <w:r>
        <w:rPr>
          <w:color w:val="6E6158"/>
        </w:rPr>
        <w:t>Tale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Two</w:t>
      </w:r>
      <w:r>
        <w:rPr>
          <w:color w:val="6E6158"/>
          <w:spacing w:val="8"/>
        </w:rPr>
        <w:t> </w:t>
      </w:r>
      <w:r>
        <w:rPr>
          <w:color w:val="6E6158"/>
        </w:rPr>
        <w:t>Matters,”</w:t>
      </w:r>
      <w:r>
        <w:rPr>
          <w:color w:val="6E6158"/>
          <w:spacing w:val="8"/>
        </w:rPr>
        <w:t> </w:t>
      </w:r>
      <w:r>
        <w:rPr>
          <w:color w:val="6E6158"/>
        </w:rPr>
        <w:t>JD</w:t>
      </w:r>
      <w:r>
        <w:rPr>
          <w:color w:val="6E6158"/>
          <w:spacing w:val="8"/>
        </w:rPr>
        <w:t> </w:t>
      </w:r>
      <w:r>
        <w:rPr>
          <w:color w:val="6E6158"/>
        </w:rPr>
        <w:t>Supra,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18,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>
          <w:color w:val="6E6158"/>
        </w:rPr>
        <w:t>Author, “Lessons Learned from ERISA Health Plan Representation and Recommendations for </w:t>
      </w:r>
      <w:r>
        <w:rPr>
          <w:color w:val="6E6158"/>
        </w:rPr>
        <w:t>Plan Design and Oversight,” JD Supra, February 19, 2025</w:t>
      </w:r>
    </w:p>
    <w:p>
      <w:pPr>
        <w:pStyle w:val="BodyText"/>
        <w:spacing w:line="292" w:lineRule="auto" w:before="131"/>
      </w:pPr>
      <w:r>
        <w:rPr>
          <w:color w:val="6E6158"/>
        </w:rPr>
        <w:t>Author, “Regulatory Landscape of Insurance Claims Denial Practices and Suggestions for a </w:t>
      </w:r>
      <w:r>
        <w:rPr>
          <w:color w:val="6E6158"/>
        </w:rPr>
        <w:t>Path Forward to a Sustainable Healthcare Future,” JD Supra, January 31, 2025</w:t>
      </w:r>
    </w:p>
    <w:p>
      <w:pPr>
        <w:pStyle w:val="BodyText"/>
        <w:spacing w:line="302" w:lineRule="auto" w:before="123"/>
      </w:pPr>
      <w:r>
        <w:rPr>
          <w:color w:val="6E6158"/>
        </w:rPr>
        <w:t>Author, “California Department of Public Health (CDPH) ‘All Facilities Letter’ and Survey </w:t>
      </w:r>
      <w:r>
        <w:rPr>
          <w:color w:val="6E6158"/>
        </w:rPr>
        <w:t>Activities</w:t>
      </w:r>
      <w:r>
        <w:rPr>
          <w:color w:val="6E6158"/>
          <w:spacing w:val="40"/>
        </w:rPr>
        <w:t> </w:t>
      </w:r>
      <w:r>
        <w:rPr>
          <w:color w:val="6E6158"/>
        </w:rPr>
        <w:t>Impacting</w:t>
      </w:r>
      <w:r>
        <w:rPr>
          <w:color w:val="6E6158"/>
          <w:spacing w:val="36"/>
        </w:rPr>
        <w:t> </w:t>
      </w:r>
      <w:r>
        <w:rPr>
          <w:color w:val="6E6158"/>
        </w:rPr>
        <w:t>Nurse</w:t>
      </w:r>
      <w:r>
        <w:rPr>
          <w:color w:val="6E6158"/>
          <w:spacing w:val="36"/>
        </w:rPr>
        <w:t> </w:t>
      </w:r>
      <w:r>
        <w:rPr>
          <w:color w:val="6E6158"/>
        </w:rPr>
        <w:t>Anesthesiology</w:t>
      </w:r>
      <w:r>
        <w:rPr>
          <w:color w:val="6E6158"/>
          <w:spacing w:val="36"/>
        </w:rPr>
        <w:t> </w:t>
      </w:r>
      <w:r>
        <w:rPr>
          <w:color w:val="6E6158"/>
        </w:rPr>
        <w:t>Scope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Practice,”</w:t>
      </w:r>
      <w:r>
        <w:rPr>
          <w:color w:val="6E6158"/>
          <w:spacing w:val="36"/>
        </w:rPr>
        <w:t> </w:t>
      </w:r>
      <w:r>
        <w:rPr>
          <w:color w:val="6E6158"/>
        </w:rPr>
        <w:t>JD</w:t>
      </w:r>
      <w:r>
        <w:rPr>
          <w:color w:val="6E6158"/>
          <w:spacing w:val="36"/>
        </w:rPr>
        <w:t> </w:t>
      </w:r>
      <w:r>
        <w:rPr>
          <w:color w:val="6E6158"/>
        </w:rPr>
        <w:t>Supra,</w:t>
      </w:r>
      <w:r>
        <w:rPr>
          <w:color w:val="6E6158"/>
          <w:spacing w:val="36"/>
        </w:rPr>
        <w:t> </w:t>
      </w:r>
      <w:r>
        <w:rPr>
          <w:color w:val="6E6158"/>
        </w:rPr>
        <w:t>December</w:t>
      </w:r>
      <w:r>
        <w:rPr>
          <w:color w:val="6E6158"/>
          <w:spacing w:val="36"/>
        </w:rPr>
        <w:t> </w:t>
      </w:r>
      <w:r>
        <w:rPr>
          <w:color w:val="6E6158"/>
        </w:rPr>
        <w:t>9,</w:t>
      </w:r>
      <w:r>
        <w:rPr>
          <w:color w:val="6E6158"/>
          <w:spacing w:val="36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13"/>
      </w:pPr>
      <w:r>
        <w:rPr>
          <w:color w:val="6E6158"/>
        </w:rPr>
        <w:t>Co-Presenter, CalAIM Initiative on Enhanced Care Management and Community Supports, </w:t>
      </w:r>
      <w:r>
        <w:rPr>
          <w:color w:val="6E6158"/>
        </w:rPr>
        <w:t>2024 CSHA Annual Meeting and Spring SeminarLegal Update, May 3, 2024</w:t>
      </w:r>
    </w:p>
    <w:p>
      <w:pPr>
        <w:pStyle w:val="BodyText"/>
        <w:spacing w:line="302" w:lineRule="auto" w:before="123"/>
        <w:ind w:right="338"/>
      </w:pPr>
      <w:r>
        <w:rPr>
          <w:color w:val="6E6158"/>
        </w:rPr>
        <w:t>Author, CIGNA’s New CRNA Payment Policy Adds Fuel To The Fire, Coronis Health, October 27, </w:t>
      </w:r>
      <w:r>
        <w:rPr>
          <w:color w:val="6E6158"/>
          <w:spacing w:val="-4"/>
        </w:rPr>
        <w:t>2023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253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Lawyers</w:t>
      </w:r>
      <w:r>
        <w:rPr>
          <w:i/>
          <w:color w:val="6E6158"/>
          <w:spacing w:val="-2"/>
          <w:position w:val="7"/>
          <w:sz w:val="16"/>
        </w:rPr>
        <w:t>®</w:t>
      </w:r>
      <w:r>
        <w:rPr>
          <w:i/>
          <w:color w:val="6E6158"/>
          <w:spacing w:val="5"/>
          <w:position w:val="7"/>
          <w:sz w:val="16"/>
        </w:rPr>
        <w:t> </w:t>
      </w:r>
      <w:r>
        <w:rPr>
          <w:i/>
          <w:color w:val="6E6158"/>
          <w:spacing w:val="-2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Stars,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Litigation,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Health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pacing w:val="-2"/>
          <w:sz w:val="20"/>
        </w:rPr>
        <w:t>Care,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ERISA,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pacing w:val="-2"/>
          <w:sz w:val="19"/>
        </w:rPr>
        <w:t>2025-</w:t>
      </w:r>
      <w:r>
        <w:rPr>
          <w:color w:val="6E6158"/>
          <w:spacing w:val="-4"/>
          <w:sz w:val="19"/>
        </w:rPr>
        <w:t>2026</w:t>
      </w:r>
    </w:p>
    <w:p>
      <w:pPr>
        <w:spacing w:before="165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Health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38"/>
      </w:pPr>
      <w:r>
        <w:rPr>
          <w:color w:val="6E6158"/>
        </w:rPr>
        <w:t>Outstanding Interest Group (Nursing and Allied Health Professionals), American Bar </w:t>
      </w:r>
      <w:r>
        <w:rPr>
          <w:color w:val="6E6158"/>
        </w:rPr>
        <w:t>Association,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American</w:t>
      </w:r>
      <w:r>
        <w:rPr>
          <w:color w:val="6E6158"/>
          <w:spacing w:val="11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2"/>
        </w:rPr>
        <w:t> </w:t>
      </w:r>
      <w:r>
        <w:rPr>
          <w:color w:val="6E6158"/>
        </w:rPr>
        <w:t>Vice</w:t>
      </w:r>
      <w:r>
        <w:rPr>
          <w:color w:val="6E6158"/>
          <w:spacing w:val="11"/>
        </w:rPr>
        <w:t> </w:t>
      </w:r>
      <w:r>
        <w:rPr>
          <w:color w:val="6E6158"/>
        </w:rPr>
        <w:t>Chair,</w:t>
      </w:r>
      <w:r>
        <w:rPr>
          <w:color w:val="6E6158"/>
          <w:spacing w:val="11"/>
        </w:rPr>
        <w:t> </w:t>
      </w:r>
      <w:r>
        <w:rPr>
          <w:color w:val="6E6158"/>
        </w:rPr>
        <w:t>Nursing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Allied</w:t>
      </w:r>
      <w:r>
        <w:rPr>
          <w:color w:val="6E6158"/>
          <w:spacing w:val="11"/>
        </w:rPr>
        <w:t> </w:t>
      </w:r>
      <w:r>
        <w:rPr>
          <w:color w:val="6E6158"/>
        </w:rPr>
        <w:t>Healthcare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Professionals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Appeals</w:t>
      </w:r>
      <w:r>
        <w:rPr>
          <w:color w:val="6E6158"/>
          <w:spacing w:val="9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9"/>
        </w:rPr>
        <w:t> </w:t>
      </w:r>
      <w:r>
        <w:rPr>
          <w:color w:val="6E6158"/>
        </w:rPr>
        <w:t>Ninth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fresno/" TargetMode="External"/><Relationship Id="rId11" Type="http://schemas.openxmlformats.org/officeDocument/2006/relationships/hyperlink" Target="mailto:kbowles@fennemorelaw.com" TargetMode="External"/><Relationship Id="rId12" Type="http://schemas.openxmlformats.org/officeDocument/2006/relationships/hyperlink" Target="https://www.fennemorelaw.com/u-s-healthcare-in-obbba-a-patchwork-of-big-changes/" TargetMode="External"/><Relationship Id="rId13" Type="http://schemas.openxmlformats.org/officeDocument/2006/relationships/hyperlink" Target="https://www.fennemorelaw.com/federal-and-californias-shared-interest-in-promoting-open-competition-isnt-it-ironic/" TargetMode="External"/><Relationship Id="rId14" Type="http://schemas.openxmlformats.org/officeDocument/2006/relationships/hyperlink" Target="https://www.fennemorelaw.com/californias-bold-experiment-with-whole-person-centered-care-has-it-worked/" TargetMode="External"/><Relationship Id="rId15" Type="http://schemas.openxmlformats.org/officeDocument/2006/relationships/hyperlink" Target="https://www.fennemorelaw.com/we-are-almost-back-to-normal-post-covid-except-when-it-comes-to-nurse-staffing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Katherine A. Bowles - Fennemore</dc:title>
  <dcterms:created xsi:type="dcterms:W3CDTF">2026-06-12T09:53:36Z</dcterms:created>
  <dcterms:modified xsi:type="dcterms:W3CDTF">2026-06-12T09:53:36Z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