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Callawa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32" w:right="23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E. CALLAWAY</w:t>
                              </w:r>
                            </w:p>
                            <w:p>
                              <w:pPr>
                                <w:spacing w:before="48"/>
                                <w:ind w:left="232" w:right="23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602.916.5632</w:t>
                              </w:r>
                            </w:p>
                            <w:p>
                              <w:pPr>
                                <w:spacing w:before="119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kcallaway@fennemorelaw.com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Callawa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32" w:right="23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E. CALLAWAY</w:t>
                        </w:r>
                      </w:p>
                      <w:p>
                        <w:pPr>
                          <w:spacing w:before="48"/>
                          <w:ind w:left="232" w:right="23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602.916.5632</w:t>
                        </w:r>
                      </w:p>
                      <w:p>
                        <w:pPr>
                          <w:spacing w:before="119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kcallaway@fennemorelaw.com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CALLAWAY,</w:t>
      </w:r>
      <w:r>
        <w:rPr>
          <w:color w:val="002E6B"/>
          <w:spacing w:val="13"/>
        </w:rPr>
        <w:t> </w:t>
      </w:r>
      <w:r>
        <w:rPr>
          <w:color w:val="002E6B"/>
        </w:rPr>
        <w:t>KATHLEEN</w:t>
      </w:r>
      <w:r>
        <w:rPr>
          <w:color w:val="002E6B"/>
          <w:spacing w:val="13"/>
        </w:rPr>
        <w:t> </w:t>
      </w:r>
      <w:r>
        <w:rPr>
          <w:color w:val="002E6B"/>
          <w:spacing w:val="-5"/>
        </w:rPr>
        <w:t>E.</w:t>
      </w:r>
    </w:p>
    <w:p>
      <w:pPr>
        <w:pStyle w:val="BodyText"/>
        <w:spacing w:line="295" w:lineRule="auto" w:before="147"/>
        <w:ind w:right="554"/>
      </w:pPr>
      <w:r>
        <w:rPr>
          <w:color w:val="6E6158"/>
        </w:rPr>
        <w:t>Katie Callaway is a Director in Fennemore’s Trusts and Estates practice group, specializing in</w:t>
      </w:r>
      <w:r>
        <w:rPr>
          <w:color w:val="6E6158"/>
          <w:spacing w:val="80"/>
        </w:rPr>
        <w:t> </w:t>
      </w:r>
      <w:r>
        <w:rPr>
          <w:color w:val="6E6158"/>
        </w:rPr>
        <w:t>estate planning, probate, and estate and trust administration. Katie’s areas of expertise include</w:t>
      </w:r>
      <w:r>
        <w:rPr>
          <w:color w:val="6E6158"/>
          <w:spacing w:val="40"/>
        </w:rPr>
        <w:t> </w:t>
      </w:r>
      <w:r>
        <w:rPr>
          <w:color w:val="6E6158"/>
        </w:rPr>
        <w:t>preparing comprehensive estate plans, including drafting revocable trusts, Wills, durable </w:t>
      </w:r>
      <w:r>
        <w:rPr>
          <w:color w:val="6E6158"/>
        </w:rPr>
        <w:t>powers</w:t>
      </w:r>
      <w:r>
        <w:rPr>
          <w:color w:val="6E6158"/>
          <w:spacing w:val="80"/>
        </w:rPr>
        <w:t> </w:t>
      </w:r>
      <w:r>
        <w:rPr>
          <w:color w:val="6E6158"/>
        </w:rPr>
        <w:t>of attorney, health care directives, and premarital agreements. Katie also works with clients on</w:t>
      </w:r>
      <w:r>
        <w:rPr>
          <w:color w:val="6E6158"/>
          <w:spacing w:val="40"/>
        </w:rPr>
        <w:t> </w:t>
      </w:r>
      <w:r>
        <w:rPr>
          <w:color w:val="6E6158"/>
        </w:rPr>
        <w:t>advanced wealth transfer strategies through the use of a variety of irrevocable trusts, including</w:t>
      </w:r>
      <w:r>
        <w:rPr>
          <w:color w:val="6E6158"/>
          <w:spacing w:val="40"/>
        </w:rPr>
        <w:t> </w:t>
      </w:r>
      <w:r>
        <w:rPr>
          <w:color w:val="6E6158"/>
        </w:rPr>
        <w:t>charitable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grantor</w:t>
      </w:r>
      <w:r>
        <w:rPr>
          <w:color w:val="6E6158"/>
          <w:spacing w:val="38"/>
        </w:rPr>
        <w:t> </w:t>
      </w:r>
      <w:r>
        <w:rPr>
          <w:color w:val="6E6158"/>
        </w:rPr>
        <w:t>retained</w:t>
      </w:r>
      <w:r>
        <w:rPr>
          <w:color w:val="6E6158"/>
          <w:spacing w:val="38"/>
        </w:rPr>
        <w:t> </w:t>
      </w:r>
      <w:r>
        <w:rPr>
          <w:color w:val="6E6158"/>
        </w:rPr>
        <w:t>annuity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qualified</w:t>
      </w:r>
      <w:r>
        <w:rPr>
          <w:color w:val="6E6158"/>
          <w:spacing w:val="38"/>
        </w:rPr>
        <w:t> </w:t>
      </w:r>
      <w:r>
        <w:rPr>
          <w:color w:val="6E6158"/>
        </w:rPr>
        <w:t>personal</w:t>
      </w:r>
      <w:r>
        <w:rPr>
          <w:color w:val="6E6158"/>
          <w:spacing w:val="38"/>
        </w:rPr>
        <w:t> </w:t>
      </w:r>
      <w:r>
        <w:rPr>
          <w:color w:val="6E6158"/>
        </w:rPr>
        <w:t>residence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spousal lifetime access trusts, irrevocable life insurance trusts, and other sophisticated gift and estate tax</w:t>
      </w:r>
      <w:r>
        <w:rPr>
          <w:color w:val="6E6158"/>
          <w:spacing w:val="40"/>
        </w:rPr>
        <w:t> </w:t>
      </w:r>
      <w:r>
        <w:rPr>
          <w:color w:val="6E6158"/>
        </w:rPr>
        <w:t>planning techniques.</w:t>
      </w:r>
    </w:p>
    <w:p>
      <w:pPr>
        <w:pStyle w:val="Heading2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LL.M.,</w:t>
      </w:r>
      <w:r>
        <w:rPr>
          <w:color w:val="6E6158"/>
          <w:spacing w:val="7"/>
        </w:rPr>
        <w:t> </w:t>
      </w:r>
      <w:r>
        <w:rPr>
          <w:color w:val="6E6158"/>
        </w:rPr>
        <w:t>New</w:t>
      </w:r>
      <w:r>
        <w:rPr>
          <w:color w:val="6E6158"/>
          <w:spacing w:val="8"/>
        </w:rPr>
        <w:t> </w:t>
      </w:r>
      <w:r>
        <w:rPr>
          <w:color w:val="6E6158"/>
        </w:rPr>
        <w:t>York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3"/>
        <w:ind w:right="3067"/>
      </w:pP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Arizona State University</w:t>
      </w:r>
    </w:p>
    <w:p>
      <w:pPr>
        <w:pStyle w:val="BodyText"/>
        <w:spacing w:line="427" w:lineRule="auto"/>
        <w:ind w:right="1328"/>
      </w:pPr>
      <w:r>
        <w:rPr>
          <w:color w:val="6E6158"/>
        </w:rPr>
        <w:t>Pedrick Scholar CALI Awards for highest grade in Evidence and Employment Law Homeless Legal Assistance Project, Volunteer; Study abroad (Europe-Summer </w:t>
      </w:r>
      <w:r>
        <w:rPr>
          <w:color w:val="6E6158"/>
        </w:rPr>
        <w:t>2009)</w:t>
      </w:r>
    </w:p>
    <w:p>
      <w:pPr>
        <w:spacing w:before="275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82"/>
      </w:pPr>
      <w:r>
        <w:rPr>
          <w:color w:val="6E6158"/>
        </w:rPr>
        <w:t>Private</w:t>
      </w:r>
      <w:r>
        <w:rPr>
          <w:color w:val="6E6158"/>
          <w:spacing w:val="9"/>
        </w:rPr>
        <w:t> </w:t>
      </w:r>
      <w:r>
        <w:rPr>
          <w:color w:val="6E6158"/>
        </w:rPr>
        <w:t>Client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Wealth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Preservation</w:t>
      </w:r>
    </w:p>
    <w:p>
      <w:pPr>
        <w:pStyle w:val="BodyText"/>
        <w:spacing w:before="63"/>
        <w:ind w:left="0"/>
      </w:pPr>
    </w:p>
    <w:p>
      <w:pPr>
        <w:pStyle w:val="BodyText"/>
        <w:spacing w:line="422" w:lineRule="auto"/>
        <w:ind w:right="7737"/>
      </w:pPr>
      <w:r>
        <w:rPr>
          <w:color w:val="6E6158"/>
        </w:rPr>
        <w:t>Trusts &amp; Estates 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after="0" w:line="42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 Watch, Trusts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 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before="1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4"/>
          <w:sz w:val="19"/>
        </w:rPr>
        <w:t> 2021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Next-Generation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 w:before="1"/>
        <w:ind w:right="647"/>
      </w:pPr>
      <w:hyperlink r:id="rId11">
        <w:r>
          <w:rPr>
            <w:color w:val="F5821F"/>
          </w:rPr>
          <w:t>Interview, “A Conversation On Leadership &amp; Life In The Law With Katie Callaway,” </w:t>
        </w:r>
        <w:r>
          <w:rPr>
            <w:color w:val="F5821F"/>
          </w:rPr>
          <w:t>Fennemore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Blog, March 3, 2022</w:t>
        </w:r>
      </w:hyperlink>
    </w:p>
    <w:p>
      <w:pPr>
        <w:pStyle w:val="BodyText"/>
        <w:spacing w:line="292" w:lineRule="auto" w:before="112"/>
        <w:ind w:right="647"/>
      </w:pPr>
      <w:r>
        <w:rPr>
          <w:color w:val="6E6158"/>
        </w:rPr>
        <w:t>Speaker, “Digital Assets,” The Arizona Fiduciaries Association 2018 Spring Conference, April </w:t>
      </w:r>
      <w:r>
        <w:rPr>
          <w:color w:val="6E6158"/>
        </w:rPr>
        <w:t>20, </w:t>
      </w:r>
      <w:r>
        <w:rPr>
          <w:color w:val="6E6158"/>
          <w:spacing w:val="-4"/>
        </w:rPr>
        <w:t>2018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Liberty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Wildlife</w:t>
      </w:r>
    </w:p>
    <w:p>
      <w:pPr>
        <w:pStyle w:val="BodyText"/>
        <w:spacing w:line="420" w:lineRule="auto" w:before="182"/>
        <w:ind w:right="4107"/>
      </w:pPr>
      <w:r>
        <w:rPr>
          <w:color w:val="6E6158"/>
        </w:rPr>
        <w:t>Board Member, Central Arizona Estate Planning </w:t>
      </w:r>
      <w:r>
        <w:rPr>
          <w:color w:val="6E6158"/>
        </w:rPr>
        <w:t>Council Member, State Bar of Arizona</w:t>
      </w:r>
    </w:p>
    <w:p>
      <w:pPr>
        <w:pStyle w:val="BodyText"/>
        <w:spacing w:line="420" w:lineRule="auto"/>
        <w:ind w:right="4107"/>
      </w:pPr>
      <w:r>
        <w:rPr>
          <w:color w:val="6E6158"/>
        </w:rPr>
        <w:t>Former Board Member, Back to School Clothing Drive Former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Trustees,</w:t>
      </w:r>
      <w:r>
        <w:rPr>
          <w:color w:val="6E6158"/>
          <w:spacing w:val="9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Boys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Choir</w:t>
      </w:r>
    </w:p>
    <w:p>
      <w:pPr>
        <w:pStyle w:val="Heading2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callaway@fennemorelaw.com" TargetMode="External"/><Relationship Id="rId11" Type="http://schemas.openxmlformats.org/officeDocument/2006/relationships/hyperlink" Target="https://www.fennemorelaw.com/i-truly-enjoy-helping-each-of-my-clients-create-an-estate-plan-that-adequately-addresses-all-the-unique-issues-each-one-is-fac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E. Callaway - Fennemore</dc:title>
  <dcterms:created xsi:type="dcterms:W3CDTF">2026-06-12T10:25:10Z</dcterms:created>
  <dcterms:modified xsi:type="dcterms:W3CDTF">2026-06-12T10:25:10Z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