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Kevin Bonner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39604" y="1369338"/>
                            <a:ext cx="202565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5650" h="320675">
                                <a:moveTo>
                                  <a:pt x="2025586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2025586" y="320382"/>
                                </a:lnTo>
                                <a:lnTo>
                                  <a:pt x="2025586" y="315214"/>
                                </a:lnTo>
                                <a:close/>
                              </a:path>
                              <a:path w="2025650" h="320675">
                                <a:moveTo>
                                  <a:pt x="20255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025586" y="5168"/>
                                </a:lnTo>
                                <a:lnTo>
                                  <a:pt x="20255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KEVIN J.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BONNER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768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602.916.5379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602.916.5579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kbonner@fennemorelaw.com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Kevin Bonner bio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574;top:2156;width:3190;height:505" id="docshape5" coordorigin="5574,2156" coordsize="3190,505" path="m8764,2653l5574,2653,5574,2661,8764,2661,8764,2653xm8764,2156l5574,2156,5574,2165,8764,2165,8764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KEVIN J.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BONNER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768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602.916.5379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602.916.5579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kbonner@fennemorelaw.com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before="67"/>
        <w:ind w:left="99" w:right="0" w:firstLine="0"/>
        <w:jc w:val="left"/>
        <w:rPr>
          <w:b/>
          <w:sz w:val="24"/>
        </w:rPr>
      </w:pPr>
      <w:r>
        <w:rPr>
          <w:b/>
          <w:color w:val="002E6B"/>
          <w:sz w:val="24"/>
        </w:rPr>
        <w:t>KEVIN</w:t>
      </w:r>
      <w:r>
        <w:rPr>
          <w:b/>
          <w:color w:val="002E6B"/>
          <w:spacing w:val="5"/>
          <w:sz w:val="24"/>
        </w:rPr>
        <w:t> </w:t>
      </w:r>
      <w:r>
        <w:rPr>
          <w:b/>
          <w:color w:val="002E6B"/>
          <w:sz w:val="24"/>
        </w:rPr>
        <w:t>J.</w:t>
      </w:r>
      <w:r>
        <w:rPr>
          <w:b/>
          <w:color w:val="002E6B"/>
          <w:spacing w:val="5"/>
          <w:sz w:val="24"/>
        </w:rPr>
        <w:t> </w:t>
      </w:r>
      <w:r>
        <w:rPr>
          <w:b/>
          <w:color w:val="002E6B"/>
          <w:spacing w:val="-2"/>
          <w:sz w:val="24"/>
        </w:rPr>
        <w:t>BONNER</w:t>
      </w:r>
    </w:p>
    <w:p>
      <w:pPr>
        <w:pStyle w:val="BodyText"/>
        <w:spacing w:line="295" w:lineRule="auto" w:before="147"/>
        <w:ind w:left="99" w:right="511" w:firstLine="0"/>
      </w:pPr>
      <w:r>
        <w:rPr>
          <w:color w:val="6E6158"/>
        </w:rPr>
        <w:t>Kevin is the Chair of the Fennemore’s construction law practice and also serves as Associate</w:t>
      </w:r>
      <w:r>
        <w:rPr>
          <w:color w:val="6E6158"/>
          <w:spacing w:val="40"/>
        </w:rPr>
        <w:t> </w:t>
      </w:r>
      <w:r>
        <w:rPr>
          <w:color w:val="6E6158"/>
        </w:rPr>
        <w:t>General</w:t>
      </w:r>
      <w:r>
        <w:rPr>
          <w:color w:val="6E6158"/>
          <w:spacing w:val="19"/>
        </w:rPr>
        <w:t> </w:t>
      </w:r>
      <w:r>
        <w:rPr>
          <w:color w:val="6E6158"/>
        </w:rPr>
        <w:t>Counsel</w:t>
      </w:r>
      <w:r>
        <w:rPr>
          <w:color w:val="6E6158"/>
          <w:spacing w:val="18"/>
        </w:rPr>
        <w:t> </w:t>
      </w:r>
      <w:r>
        <w:rPr>
          <w:color w:val="6E6158"/>
        </w:rPr>
        <w:t>for</w:t>
      </w:r>
      <w:r>
        <w:rPr>
          <w:color w:val="6E6158"/>
          <w:spacing w:val="19"/>
        </w:rPr>
        <w:t> </w:t>
      </w:r>
      <w:r>
        <w:rPr>
          <w:color w:val="6E6158"/>
        </w:rPr>
        <w:t>the</w:t>
      </w:r>
      <w:r>
        <w:rPr>
          <w:color w:val="6E6158"/>
          <w:spacing w:val="18"/>
        </w:rPr>
        <w:t> </w:t>
      </w:r>
      <w:r>
        <w:rPr>
          <w:color w:val="6E6158"/>
        </w:rPr>
        <w:t>firm.</w:t>
      </w:r>
      <w:r>
        <w:rPr>
          <w:color w:val="6E6158"/>
          <w:spacing w:val="19"/>
        </w:rPr>
        <w:t> </w:t>
      </w:r>
      <w:r>
        <w:rPr>
          <w:color w:val="6E6158"/>
        </w:rPr>
        <w:t>He</w:t>
      </w:r>
      <w:r>
        <w:rPr>
          <w:color w:val="6E6158"/>
          <w:spacing w:val="18"/>
        </w:rPr>
        <w:t> </w:t>
      </w:r>
      <w:r>
        <w:rPr>
          <w:color w:val="6E6158"/>
        </w:rPr>
        <w:t>has</w:t>
      </w:r>
      <w:r>
        <w:rPr>
          <w:color w:val="6E6158"/>
          <w:spacing w:val="19"/>
        </w:rPr>
        <w:t> </w:t>
      </w:r>
      <w:r>
        <w:rPr>
          <w:color w:val="6E6158"/>
        </w:rPr>
        <w:t>more</w:t>
      </w:r>
      <w:r>
        <w:rPr>
          <w:color w:val="6E6158"/>
          <w:spacing w:val="18"/>
        </w:rPr>
        <w:t> </w:t>
      </w:r>
      <w:r>
        <w:rPr>
          <w:color w:val="6E6158"/>
        </w:rPr>
        <w:t>than</w:t>
      </w:r>
      <w:r>
        <w:rPr>
          <w:color w:val="6E6158"/>
          <w:spacing w:val="19"/>
        </w:rPr>
        <w:t> </w:t>
      </w:r>
      <w:r>
        <w:rPr>
          <w:color w:val="6E6158"/>
        </w:rPr>
        <w:t>thirty</w:t>
      </w:r>
      <w:r>
        <w:rPr>
          <w:color w:val="6E6158"/>
          <w:spacing w:val="18"/>
        </w:rPr>
        <w:t> </w:t>
      </w:r>
      <w:r>
        <w:rPr>
          <w:color w:val="6E6158"/>
        </w:rPr>
        <w:t>years</w:t>
      </w:r>
      <w:r>
        <w:rPr>
          <w:color w:val="6E6158"/>
          <w:spacing w:val="19"/>
        </w:rPr>
        <w:t> </w:t>
      </w:r>
      <w:r>
        <w:rPr>
          <w:color w:val="6E6158"/>
        </w:rPr>
        <w:t>of</w:t>
      </w:r>
      <w:r>
        <w:rPr>
          <w:color w:val="6E6158"/>
          <w:spacing w:val="18"/>
        </w:rPr>
        <w:t> </w:t>
      </w:r>
      <w:r>
        <w:rPr>
          <w:color w:val="6E6158"/>
        </w:rPr>
        <w:t>experience</w:t>
      </w:r>
      <w:r>
        <w:rPr>
          <w:color w:val="6E6158"/>
          <w:spacing w:val="19"/>
        </w:rPr>
        <w:t> </w:t>
      </w:r>
      <w:r>
        <w:rPr>
          <w:color w:val="6E6158"/>
        </w:rPr>
        <w:t>advising</w:t>
      </w:r>
      <w:r>
        <w:rPr>
          <w:color w:val="6E6158"/>
          <w:spacing w:val="18"/>
        </w:rPr>
        <w:t> </w:t>
      </w:r>
      <w:r>
        <w:rPr>
          <w:color w:val="6E6158"/>
        </w:rPr>
        <w:t>stakeholders in construction matters. Kevin advises contractors, design professionals, owners, and </w:t>
      </w:r>
      <w:r>
        <w:rPr>
          <w:color w:val="6E6158"/>
        </w:rPr>
        <w:t>developers</w:t>
      </w:r>
      <w:r>
        <w:rPr>
          <w:color w:val="6E6158"/>
          <w:spacing w:val="40"/>
        </w:rPr>
        <w:t> </w:t>
      </w:r>
      <w:r>
        <w:rPr>
          <w:color w:val="6E6158"/>
        </w:rPr>
        <w:t>regarding</w:t>
      </w:r>
      <w:r>
        <w:rPr>
          <w:color w:val="6E6158"/>
          <w:spacing w:val="38"/>
        </w:rPr>
        <w:t> </w:t>
      </w:r>
      <w:r>
        <w:rPr>
          <w:color w:val="6E6158"/>
        </w:rPr>
        <w:t>construction</w:t>
      </w:r>
      <w:r>
        <w:rPr>
          <w:color w:val="6E6158"/>
          <w:spacing w:val="38"/>
        </w:rPr>
        <w:t> </w:t>
      </w:r>
      <w:r>
        <w:rPr>
          <w:color w:val="6E6158"/>
        </w:rPr>
        <w:t>issues,</w:t>
      </w:r>
      <w:r>
        <w:rPr>
          <w:color w:val="6E6158"/>
          <w:spacing w:val="38"/>
        </w:rPr>
        <w:t> </w:t>
      </w:r>
      <w:r>
        <w:rPr>
          <w:color w:val="6E6158"/>
        </w:rPr>
        <w:t>from</w:t>
      </w:r>
      <w:r>
        <w:rPr>
          <w:color w:val="6E6158"/>
          <w:spacing w:val="38"/>
        </w:rPr>
        <w:t> </w:t>
      </w:r>
      <w:r>
        <w:rPr>
          <w:color w:val="6E6158"/>
        </w:rPr>
        <w:t>the</w:t>
      </w:r>
      <w:r>
        <w:rPr>
          <w:color w:val="6E6158"/>
          <w:spacing w:val="38"/>
        </w:rPr>
        <w:t> </w:t>
      </w:r>
      <w:r>
        <w:rPr>
          <w:color w:val="6E6158"/>
        </w:rPr>
        <w:t>pre-construction</w:t>
      </w:r>
      <w:r>
        <w:rPr>
          <w:color w:val="6E6158"/>
          <w:spacing w:val="38"/>
        </w:rPr>
        <w:t> </w:t>
      </w:r>
      <w:r>
        <w:rPr>
          <w:color w:val="6E6158"/>
        </w:rPr>
        <w:t>phase</w:t>
      </w:r>
      <w:r>
        <w:rPr>
          <w:color w:val="6E6158"/>
          <w:spacing w:val="38"/>
        </w:rPr>
        <w:t> </w:t>
      </w:r>
      <w:r>
        <w:rPr>
          <w:color w:val="6E6158"/>
        </w:rPr>
        <w:t>through</w:t>
      </w:r>
      <w:r>
        <w:rPr>
          <w:color w:val="6E6158"/>
          <w:spacing w:val="38"/>
        </w:rPr>
        <w:t> </w:t>
      </w:r>
      <w:r>
        <w:rPr>
          <w:color w:val="6E6158"/>
        </w:rPr>
        <w:t>project</w:t>
      </w:r>
      <w:r>
        <w:rPr>
          <w:color w:val="6E6158"/>
          <w:spacing w:val="38"/>
        </w:rPr>
        <w:t> </w:t>
      </w:r>
      <w:r>
        <w:rPr>
          <w:color w:val="6E6158"/>
        </w:rPr>
        <w:t>execution.</w:t>
      </w:r>
      <w:r>
        <w:rPr>
          <w:color w:val="6E6158"/>
          <w:spacing w:val="38"/>
        </w:rPr>
        <w:t> </w:t>
      </w:r>
      <w:r>
        <w:rPr>
          <w:color w:val="6E6158"/>
        </w:rPr>
        <w:t>He has</w:t>
      </w:r>
      <w:r>
        <w:rPr>
          <w:color w:val="6E6158"/>
          <w:spacing w:val="39"/>
        </w:rPr>
        <w:t> </w:t>
      </w:r>
      <w:r>
        <w:rPr>
          <w:color w:val="6E6158"/>
        </w:rPr>
        <w:t>substantial</w:t>
      </w:r>
      <w:r>
        <w:rPr>
          <w:color w:val="6E6158"/>
          <w:spacing w:val="39"/>
        </w:rPr>
        <w:t> </w:t>
      </w:r>
      <w:r>
        <w:rPr>
          <w:color w:val="6E6158"/>
        </w:rPr>
        <w:t>litigation</w:t>
      </w:r>
      <w:r>
        <w:rPr>
          <w:color w:val="6E6158"/>
          <w:spacing w:val="39"/>
        </w:rPr>
        <w:t> </w:t>
      </w:r>
      <w:r>
        <w:rPr>
          <w:color w:val="6E6158"/>
        </w:rPr>
        <w:t>experience</w:t>
      </w:r>
      <w:r>
        <w:rPr>
          <w:color w:val="6E6158"/>
          <w:spacing w:val="39"/>
        </w:rPr>
        <w:t> </w:t>
      </w:r>
      <w:r>
        <w:rPr>
          <w:color w:val="6E6158"/>
        </w:rPr>
        <w:t>including</w:t>
      </w:r>
      <w:r>
        <w:rPr>
          <w:color w:val="6E6158"/>
          <w:spacing w:val="39"/>
        </w:rPr>
        <w:t> </w:t>
      </w:r>
      <w:r>
        <w:rPr>
          <w:color w:val="6E6158"/>
        </w:rPr>
        <w:t>disputes</w:t>
      </w:r>
      <w:r>
        <w:rPr>
          <w:color w:val="6E6158"/>
          <w:spacing w:val="39"/>
        </w:rPr>
        <w:t> </w:t>
      </w:r>
      <w:r>
        <w:rPr>
          <w:color w:val="6E6158"/>
        </w:rPr>
        <w:t>involving</w:t>
      </w:r>
      <w:r>
        <w:rPr>
          <w:color w:val="6E6158"/>
          <w:spacing w:val="39"/>
        </w:rPr>
        <w:t> </w:t>
      </w:r>
      <w:r>
        <w:rPr>
          <w:color w:val="6E6158"/>
        </w:rPr>
        <w:t>private</w:t>
      </w:r>
      <w:r>
        <w:rPr>
          <w:color w:val="6E6158"/>
          <w:spacing w:val="39"/>
        </w:rPr>
        <w:t> </w:t>
      </w:r>
      <w:r>
        <w:rPr>
          <w:color w:val="6E6158"/>
        </w:rPr>
        <w:t>and</w:t>
      </w:r>
      <w:r>
        <w:rPr>
          <w:color w:val="6E6158"/>
          <w:spacing w:val="39"/>
        </w:rPr>
        <w:t> </w:t>
      </w:r>
      <w:r>
        <w:rPr>
          <w:color w:val="6E6158"/>
        </w:rPr>
        <w:t>public</w:t>
      </w:r>
      <w:r>
        <w:rPr>
          <w:color w:val="6E6158"/>
          <w:spacing w:val="39"/>
        </w:rPr>
        <w:t> </w:t>
      </w:r>
      <w:r>
        <w:rPr>
          <w:color w:val="6E6158"/>
        </w:rPr>
        <w:t>contracts, lien disputes, construction and design defects, and other issues. He has negotiated and drafted</w:t>
      </w:r>
      <w:r>
        <w:rPr>
          <w:color w:val="6E6158"/>
          <w:spacing w:val="40"/>
        </w:rPr>
        <w:t> </w:t>
      </w:r>
      <w:r>
        <w:rPr>
          <w:color w:val="6E6158"/>
        </w:rPr>
        <w:t>contracts for construction industry professionals, and has assisted clients in resolving countless</w:t>
      </w:r>
      <w:r>
        <w:rPr>
          <w:color w:val="6E6158"/>
          <w:spacing w:val="40"/>
        </w:rPr>
        <w:t> </w:t>
      </w:r>
      <w:r>
        <w:rPr>
          <w:color w:val="6E6158"/>
        </w:rPr>
        <w:t>disputes outside of litigation.</w:t>
      </w:r>
    </w:p>
    <w:p>
      <w:pPr>
        <w:pStyle w:val="BodyText"/>
        <w:spacing w:line="292" w:lineRule="auto" w:before="206"/>
        <w:ind w:left="99" w:right="209" w:firstLine="0"/>
      </w:pPr>
      <w:r>
        <w:rPr>
          <w:color w:val="6E6158"/>
        </w:rPr>
        <w:t>Kevin also has substantial experience in a variety of commercial litigation matters, including real</w:t>
      </w:r>
      <w:r>
        <w:rPr>
          <w:color w:val="6E6158"/>
          <w:spacing w:val="40"/>
        </w:rPr>
        <w:t> </w:t>
      </w:r>
      <w:r>
        <w:rPr>
          <w:color w:val="6E6158"/>
        </w:rPr>
        <w:t>estate, professional negligence, water law, and bankruptcy matters.</w:t>
      </w:r>
    </w:p>
    <w:p>
      <w:pPr>
        <w:pStyle w:val="BodyText"/>
        <w:spacing w:line="292" w:lineRule="auto" w:before="196"/>
        <w:ind w:left="99" w:right="209" w:firstLine="0"/>
      </w:pPr>
      <w:r>
        <w:rPr>
          <w:color w:val="6E6158"/>
        </w:rPr>
        <w:t>Kevin has successfully handled bench and jury trials, arbitration hearings, administrative </w:t>
      </w:r>
      <w:r>
        <w:rPr>
          <w:color w:val="6E6158"/>
        </w:rPr>
        <w:t>hearings</w:t>
      </w:r>
      <w:r>
        <w:rPr>
          <w:color w:val="6E6158"/>
          <w:spacing w:val="40"/>
        </w:rPr>
        <w:t> </w:t>
      </w:r>
      <w:r>
        <w:rPr>
          <w:color w:val="6E6158"/>
        </w:rPr>
        <w:t>before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Registrar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Contractors,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appeals</w:t>
      </w:r>
      <w:r>
        <w:rPr>
          <w:color w:val="6E6158"/>
          <w:spacing w:val="29"/>
        </w:rPr>
        <w:t> </w:t>
      </w:r>
      <w:r>
        <w:rPr>
          <w:color w:val="6E6158"/>
        </w:rPr>
        <w:t>before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Arizona</w:t>
      </w:r>
      <w:r>
        <w:rPr>
          <w:color w:val="6E6158"/>
          <w:spacing w:val="29"/>
        </w:rPr>
        <w:t> </w:t>
      </w:r>
      <w:r>
        <w:rPr>
          <w:color w:val="6E6158"/>
        </w:rPr>
        <w:t>Court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Appeals,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</w:p>
    <w:p>
      <w:pPr>
        <w:pStyle w:val="BodyText"/>
        <w:spacing w:line="292" w:lineRule="auto" w:before="10"/>
        <w:ind w:left="99" w:right="765" w:firstLine="0"/>
      </w:pPr>
      <w:r>
        <w:rPr>
          <w:color w:val="6E6158"/>
        </w:rPr>
        <w:t>Arizona Supreme Court, the Sixth Circuit Court of Appeals, and the Ninth Circuit Court of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Appeals.</w:t>
      </w:r>
    </w:p>
    <w:p>
      <w:pPr>
        <w:pStyle w:val="Heading2"/>
        <w:spacing w:before="162"/>
      </w:pPr>
      <w:r>
        <w:rPr>
          <w:color w:val="FF8100"/>
          <w:spacing w:val="-2"/>
        </w:rPr>
        <w:t>EDUCATION</w:t>
      </w:r>
    </w:p>
    <w:p>
      <w:pPr>
        <w:pStyle w:val="BodyText"/>
        <w:spacing w:before="17"/>
        <w:ind w:left="0" w:firstLine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" w:after="0"/>
        <w:ind w:left="217" w:right="0" w:hanging="118"/>
        <w:jc w:val="left"/>
        <w:rPr>
          <w:i/>
          <w:sz w:val="20"/>
        </w:rPr>
      </w:pPr>
      <w:r>
        <w:rPr>
          <w:color w:val="6E6158"/>
          <w:sz w:val="19"/>
        </w:rPr>
        <w:t>J.D.,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Michigan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School,</w:t>
      </w:r>
      <w:r>
        <w:rPr>
          <w:color w:val="6E6158"/>
          <w:spacing w:val="9"/>
          <w:sz w:val="19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6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9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B.S.A.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Michigan-</w:t>
      </w:r>
      <w:r>
        <w:rPr>
          <w:color w:val="6E6158"/>
          <w:spacing w:val="-2"/>
          <w:sz w:val="19"/>
        </w:rPr>
        <w:t>Dearborn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4" w:after="0"/>
        <w:ind w:left="217" w:right="0" w:hanging="118"/>
        <w:jc w:val="left"/>
        <w:rPr>
          <w:i/>
          <w:sz w:val="20"/>
        </w:rPr>
      </w:pPr>
      <w:r>
        <w:rPr>
          <w:color w:val="6E6158"/>
          <w:sz w:val="19"/>
        </w:rPr>
        <w:t>Contributing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Editor,</w:t>
      </w:r>
      <w:r>
        <w:rPr>
          <w:color w:val="6E6158"/>
          <w:spacing w:val="-7"/>
          <w:sz w:val="19"/>
        </w:rPr>
        <w:t> </w:t>
      </w:r>
      <w:r>
        <w:rPr>
          <w:i/>
          <w:color w:val="6E6158"/>
          <w:sz w:val="20"/>
        </w:rPr>
        <w:t>Michigan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Journal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of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Law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pacing w:val="-2"/>
          <w:sz w:val="20"/>
        </w:rPr>
        <w:t>Reform</w:t>
      </w:r>
    </w:p>
    <w:p>
      <w:pPr>
        <w:pStyle w:val="BodyText"/>
        <w:spacing w:before="161"/>
        <w:ind w:left="0" w:firstLine="0"/>
        <w:rPr>
          <w:i/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1"/>
        <w:ind w:left="0" w:firstLine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Commercial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Contingency</w:t>
      </w:r>
      <w:r>
        <w:rPr>
          <w:color w:val="6E6158"/>
          <w:spacing w:val="24"/>
          <w:sz w:val="19"/>
        </w:rPr>
        <w:t> </w:t>
      </w:r>
      <w:r>
        <w:rPr>
          <w:color w:val="6E6158"/>
          <w:spacing w:val="-2"/>
          <w:sz w:val="19"/>
        </w:rPr>
        <w:t>Litigation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Litigation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Real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Estate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Litigation</w:t>
      </w:r>
    </w:p>
    <w:p>
      <w:pPr>
        <w:pStyle w:val="BodyText"/>
        <w:spacing w:before="70"/>
        <w:ind w:left="0" w:firstLine="0"/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Business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Litigation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type w:val="continuous"/>
          <w:pgSz w:w="12240" w:h="15840"/>
          <w:pgMar w:top="560" w:bottom="280" w:left="1440" w:right="108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8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Financial</w:t>
      </w:r>
      <w:r>
        <w:rPr>
          <w:color w:val="6E6158"/>
          <w:spacing w:val="17"/>
          <w:sz w:val="19"/>
        </w:rPr>
        <w:t> </w:t>
      </w:r>
      <w:r>
        <w:rPr>
          <w:color w:val="6E6158"/>
          <w:spacing w:val="-2"/>
          <w:sz w:val="19"/>
        </w:rPr>
        <w:t>Restructuring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Construction</w:t>
      </w:r>
      <w:r>
        <w:rPr>
          <w:color w:val="6E6158"/>
          <w:spacing w:val="24"/>
          <w:sz w:val="19"/>
        </w:rPr>
        <w:t> </w:t>
      </w:r>
      <w:r>
        <w:rPr>
          <w:color w:val="6E6158"/>
          <w:spacing w:val="-5"/>
          <w:sz w:val="19"/>
        </w:rPr>
        <w:t>Law</w:t>
      </w:r>
    </w:p>
    <w:p>
      <w:pPr>
        <w:pStyle w:val="BodyText"/>
        <w:spacing w:before="171"/>
        <w:ind w:left="0" w:firstLine="0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8"/>
        <w:ind w:left="0" w:firstLine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Quoted,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“Feds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Seek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Win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Ariz.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Apache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Tribe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Gila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River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Water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War,”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Law360,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March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7,</w:t>
      </w:r>
      <w:r>
        <w:rPr>
          <w:color w:val="6E6158"/>
          <w:spacing w:val="7"/>
          <w:sz w:val="19"/>
        </w:rPr>
        <w:t> </w:t>
      </w:r>
      <w:r>
        <w:rPr>
          <w:color w:val="6E6158"/>
          <w:spacing w:val="-4"/>
          <w:sz w:val="19"/>
        </w:rPr>
        <w:t>2022</w:t>
      </w:r>
    </w:p>
    <w:p>
      <w:pPr>
        <w:pStyle w:val="BodyText"/>
        <w:spacing w:before="163"/>
        <w:ind w:left="0" w:firstLine="0"/>
        <w:rPr>
          <w:sz w:val="24"/>
        </w:rPr>
      </w:pPr>
    </w:p>
    <w:p>
      <w:pPr>
        <w:pStyle w:val="Heading2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before="27"/>
        <w:ind w:left="0" w:firstLine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Represented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general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contractor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multi-million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dollar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matter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arising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out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power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plant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2"/>
          <w:sz w:val="19"/>
        </w:rPr>
        <w:t>fire.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Represented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owner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cement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plant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multi-million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dollar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construction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cost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overrun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2"/>
          <w:sz w:val="19"/>
        </w:rPr>
        <w:t>matter.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Obtained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$5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million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arbitration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award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highway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contractor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dispute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with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public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2"/>
          <w:sz w:val="19"/>
        </w:rPr>
        <w:t>owner.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Obtained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$1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million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arbitration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award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contractor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payment/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defect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dispute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with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2"/>
          <w:sz w:val="19"/>
        </w:rPr>
        <w:t>owner.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74" w:after="0"/>
        <w:ind w:left="99" w:right="1123" w:firstLine="0"/>
        <w:jc w:val="left"/>
        <w:rPr>
          <w:sz w:val="19"/>
        </w:rPr>
      </w:pPr>
      <w:r>
        <w:rPr>
          <w:color w:val="6E6158"/>
          <w:sz w:val="19"/>
        </w:rPr>
        <w:t>Obtained summary judgment for national homebuilder in multi-million dollar </w:t>
      </w:r>
      <w:r>
        <w:rPr>
          <w:color w:val="6E6158"/>
          <w:sz w:val="19"/>
        </w:rPr>
        <w:t>construction defect case.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32" w:after="0"/>
        <w:ind w:left="99" w:right="678" w:firstLine="0"/>
        <w:jc w:val="left"/>
        <w:rPr>
          <w:sz w:val="19"/>
        </w:rPr>
      </w:pPr>
      <w:r>
        <w:rPr>
          <w:color w:val="6E6158"/>
          <w:sz w:val="19"/>
        </w:rPr>
        <w:t>Negotiated favorable settlement for national homebuilder in class action construction </w:t>
      </w:r>
      <w:r>
        <w:rPr>
          <w:color w:val="6E6158"/>
          <w:sz w:val="19"/>
        </w:rPr>
        <w:t>defect</w:t>
      </w:r>
      <w:r>
        <w:rPr>
          <w:color w:val="6E6158"/>
          <w:spacing w:val="40"/>
          <w:sz w:val="19"/>
        </w:rPr>
        <w:t> </w:t>
      </w:r>
      <w:r>
        <w:rPr>
          <w:color w:val="6E6158"/>
          <w:spacing w:val="-2"/>
          <w:sz w:val="19"/>
        </w:rPr>
        <w:t>case.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23" w:after="0"/>
        <w:ind w:left="99" w:right="501" w:firstLine="0"/>
        <w:jc w:val="left"/>
        <w:rPr>
          <w:sz w:val="19"/>
        </w:rPr>
      </w:pPr>
      <w:r>
        <w:rPr>
          <w:color w:val="6E6158"/>
          <w:sz w:val="19"/>
        </w:rPr>
        <w:t>Obtained $2 million settlement for commercial building owner in construction defect/breach </w:t>
      </w:r>
      <w:r>
        <w:rPr>
          <w:color w:val="6E6158"/>
          <w:sz w:val="19"/>
        </w:rPr>
        <w:t>of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contract case.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3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Representing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general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contractors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claims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disputes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against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public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owners.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Representing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general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contractors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subcontractors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contract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lien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dispute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cases.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74" w:after="0"/>
        <w:ind w:left="99" w:right="1120" w:firstLine="0"/>
        <w:jc w:val="left"/>
        <w:rPr>
          <w:sz w:val="19"/>
        </w:rPr>
      </w:pPr>
      <w:r>
        <w:rPr>
          <w:color w:val="6E6158"/>
          <w:sz w:val="19"/>
        </w:rPr>
        <w:t>Representing homebuilders, architects, engineers and owners in construction and </w:t>
      </w:r>
      <w:r>
        <w:rPr>
          <w:color w:val="6E6158"/>
          <w:sz w:val="19"/>
        </w:rPr>
        <w:t>design defect cases.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3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Representing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contractors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before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Arizona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Registrar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2"/>
          <w:sz w:val="19"/>
        </w:rPr>
        <w:t>Contractors.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74" w:after="0"/>
        <w:ind w:left="99" w:right="1092" w:firstLine="0"/>
        <w:jc w:val="left"/>
        <w:rPr>
          <w:sz w:val="19"/>
        </w:rPr>
      </w:pPr>
      <w:r>
        <w:rPr>
          <w:color w:val="6E6158"/>
          <w:sz w:val="19"/>
        </w:rPr>
        <w:t>Negotiation and drafting contracts on behalf of owners, contractors, subcontractors </w:t>
      </w:r>
      <w:r>
        <w:rPr>
          <w:color w:val="6E6158"/>
          <w:sz w:val="19"/>
        </w:rPr>
        <w:t>and design professionals.</w:t>
      </w:r>
    </w:p>
    <w:p>
      <w:pPr>
        <w:pStyle w:val="BodyText"/>
        <w:spacing w:before="120"/>
        <w:ind w:left="0" w:firstLine="0"/>
        <w:rPr>
          <w:sz w:val="24"/>
        </w:rPr>
      </w:pPr>
    </w:p>
    <w:p>
      <w:pPr>
        <w:pStyle w:val="Heading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253" w:after="0"/>
        <w:ind w:left="217" w:right="0" w:hanging="118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  <w:sz w:val="19"/>
        </w:rPr>
        <w:t>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Commercial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Litigation,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Litigation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Construction,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2013-</w:t>
      </w:r>
      <w:r>
        <w:rPr>
          <w:color w:val="6E6158"/>
          <w:spacing w:val="-4"/>
          <w:sz w:val="19"/>
        </w:rPr>
        <w:t>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5" w:after="0"/>
        <w:ind w:left="217" w:right="0" w:hanging="118"/>
        <w:jc w:val="left"/>
        <w:rPr>
          <w:sz w:val="19"/>
        </w:rPr>
      </w:pPr>
      <w:r>
        <w:rPr>
          <w:i/>
          <w:color w:val="6E6158"/>
          <w:sz w:val="20"/>
        </w:rPr>
        <w:t>Southwest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6"/>
          <w:sz w:val="20"/>
        </w:rPr>
        <w:t> </w:t>
      </w:r>
      <w:r>
        <w:rPr>
          <w:color w:val="6E6158"/>
          <w:sz w:val="19"/>
        </w:rPr>
        <w:t>Construction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Litigation,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2012-</w:t>
      </w:r>
      <w:r>
        <w:rPr>
          <w:color w:val="6E6158"/>
          <w:spacing w:val="-4"/>
          <w:sz w:val="19"/>
        </w:rPr>
        <w:t>2022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2" w:after="0"/>
        <w:ind w:left="217" w:right="0" w:hanging="118"/>
        <w:jc w:val="left"/>
        <w:rPr>
          <w:sz w:val="19"/>
        </w:rPr>
      </w:pPr>
      <w:r>
        <w:rPr>
          <w:i/>
          <w:color w:val="6E6158"/>
          <w:sz w:val="20"/>
        </w:rPr>
        <w:t>Ranking Arizona,</w:t>
      </w:r>
      <w:r>
        <w:rPr>
          <w:i/>
          <w:color w:val="6E6158"/>
          <w:spacing w:val="1"/>
          <w:sz w:val="20"/>
        </w:rPr>
        <w:t> </w:t>
      </w:r>
      <w:r>
        <w:rPr>
          <w:color w:val="6E6158"/>
          <w:sz w:val="19"/>
        </w:rPr>
        <w:t>Best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Lawyers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Construction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Litigation,</w:t>
      </w:r>
      <w:r>
        <w:rPr>
          <w:color w:val="6E6158"/>
          <w:spacing w:val="4"/>
          <w:sz w:val="19"/>
        </w:rPr>
        <w:t> </w:t>
      </w:r>
      <w:r>
        <w:rPr>
          <w:color w:val="6E6158"/>
          <w:spacing w:val="-4"/>
          <w:sz w:val="19"/>
        </w:rPr>
        <w:t>2012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20"/>
          <w:position w:val="7"/>
          <w:sz w:val="16"/>
        </w:rPr>
        <w:t> </w:t>
      </w:r>
      <w:r>
        <w:rPr>
          <w:color w:val="6E6158"/>
          <w:sz w:val="19"/>
        </w:rPr>
        <w:t>Preeminent™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Peer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Review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Rated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(the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highest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rating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available),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by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Martindale-</w:t>
      </w:r>
      <w:r>
        <w:rPr>
          <w:color w:val="6E6158"/>
          <w:spacing w:val="-2"/>
          <w:sz w:val="19"/>
        </w:rPr>
        <w:t>Hubbell</w:t>
      </w:r>
    </w:p>
    <w:p>
      <w:pPr>
        <w:pStyle w:val="BodyText"/>
        <w:spacing w:before="171"/>
        <w:ind w:left="0" w:firstLine="0"/>
        <w:rPr>
          <w:sz w:val="24"/>
        </w:rPr>
      </w:pPr>
    </w:p>
    <w:p>
      <w:pPr>
        <w:pStyle w:val="Heading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ind w:left="0" w:firstLine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State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Arizona,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Construction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2"/>
          <w:sz w:val="19"/>
        </w:rPr>
        <w:t>Section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State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8"/>
          <w:sz w:val="19"/>
        </w:rPr>
        <w:t> </w:t>
      </w:r>
      <w:r>
        <w:rPr>
          <w:color w:val="6E6158"/>
          <w:spacing w:val="-2"/>
          <w:sz w:val="19"/>
        </w:rPr>
        <w:t>Michigan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American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Association,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Construction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16"/>
          <w:sz w:val="19"/>
        </w:rPr>
        <w:t> </w:t>
      </w:r>
      <w:r>
        <w:rPr>
          <w:color w:val="6E6158"/>
          <w:spacing w:val="-2"/>
          <w:sz w:val="19"/>
        </w:rPr>
        <w:t>Forum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Federal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Association,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Phoenix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Chapter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Past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President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Board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2"/>
          <w:sz w:val="19"/>
        </w:rPr>
        <w:t>Member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Miracle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League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Arizona,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Board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Member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pgSz w:w="12240" w:h="15840"/>
          <w:pgMar w:top="500" w:bottom="280" w:left="1440" w:right="108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8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Raising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Special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Kids,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Advisory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Council;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Past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President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Board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2"/>
          <w:sz w:val="19"/>
        </w:rPr>
        <w:t>Member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Ninth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Circuit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Lawyer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Representative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(2005-2008);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Chair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(2006-</w:t>
      </w:r>
      <w:r>
        <w:rPr>
          <w:color w:val="6E6158"/>
          <w:spacing w:val="-2"/>
          <w:sz w:val="19"/>
        </w:rPr>
        <w:t>2007)</w:t>
      </w:r>
    </w:p>
    <w:p>
      <w:pPr>
        <w:pStyle w:val="BodyText"/>
        <w:spacing w:before="171"/>
        <w:ind w:left="0" w:firstLine="0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ind w:left="0" w:firstLine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Arizona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Michigan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99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2" w:hanging="1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24" w:hanging="1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86" w:hanging="1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48" w:hanging="1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10" w:hanging="1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72" w:hanging="1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34" w:hanging="1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96" w:hanging="1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74"/>
      <w:ind w:left="217" w:hanging="118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74"/>
      <w:ind w:left="217" w:hanging="118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kbonner@fennemorelaw.com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Kevin J. Bonner - Fennemore</dc:title>
  <dcterms:created xsi:type="dcterms:W3CDTF">2026-06-05T14:03:43Z</dcterms:created>
  <dcterms:modified xsi:type="dcterms:W3CDTF">2026-06-05T14:03:43Z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