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risten Itee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KRISTEN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ITEEN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kiteen@fennemorelaw.com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risten Iteen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KRISTEN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ITEEN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kiteen@fennemorelaw.com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KRISTEN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ITEEN</w:t>
      </w:r>
    </w:p>
    <w:p>
      <w:pPr>
        <w:pStyle w:val="BodyText"/>
        <w:spacing w:line="302" w:lineRule="auto" w:before="147"/>
      </w:pPr>
      <w:r>
        <w:rPr>
          <w:color w:val="6E6158"/>
        </w:rPr>
        <w:t>Kristen Iteen is an associate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group. She has valuable</w:t>
      </w:r>
      <w:r>
        <w:rPr>
          <w:color w:val="6E6158"/>
          <w:spacing w:val="40"/>
        </w:rPr>
        <w:t> </w:t>
      </w:r>
      <w:r>
        <w:rPr>
          <w:color w:val="6E6158"/>
        </w:rPr>
        <w:t>experience assisting clients with litigation, corporate, and compliance matters.</w:t>
      </w:r>
    </w:p>
    <w:p>
      <w:pPr>
        <w:pStyle w:val="BodyText"/>
        <w:spacing w:line="295" w:lineRule="auto" w:before="186"/>
        <w:ind w:right="456"/>
      </w:pPr>
      <w:r>
        <w:rPr>
          <w:color w:val="6E6158"/>
        </w:rPr>
        <w:t>Kristen</w:t>
      </w:r>
      <w:r>
        <w:rPr>
          <w:color w:val="6E6158"/>
          <w:spacing w:val="26"/>
        </w:rPr>
        <w:t> </w:t>
      </w:r>
      <w:r>
        <w:rPr>
          <w:color w:val="6E6158"/>
        </w:rPr>
        <w:t>received</w:t>
      </w:r>
      <w:r>
        <w:rPr>
          <w:color w:val="6E6158"/>
          <w:spacing w:val="26"/>
        </w:rPr>
        <w:t> </w:t>
      </w:r>
      <w:r>
        <w:rPr>
          <w:color w:val="6E6158"/>
        </w:rPr>
        <w:t>her</w:t>
      </w:r>
      <w:r>
        <w:rPr>
          <w:color w:val="6E6158"/>
          <w:spacing w:val="26"/>
        </w:rPr>
        <w:t> </w:t>
      </w:r>
      <w:r>
        <w:rPr>
          <w:color w:val="6E6158"/>
        </w:rPr>
        <w:t>J.D.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Sandra</w:t>
      </w:r>
      <w:r>
        <w:rPr>
          <w:color w:val="6E6158"/>
          <w:spacing w:val="26"/>
        </w:rPr>
        <w:t> </w:t>
      </w:r>
      <w:r>
        <w:rPr>
          <w:color w:val="6E6158"/>
        </w:rPr>
        <w:t>Day</w:t>
      </w:r>
      <w:r>
        <w:rPr>
          <w:color w:val="6E6158"/>
          <w:spacing w:val="26"/>
        </w:rPr>
        <w:t> </w:t>
      </w:r>
      <w:r>
        <w:rPr>
          <w:color w:val="6E6158"/>
        </w:rPr>
        <w:t>O’Connor</w:t>
      </w:r>
      <w:r>
        <w:rPr>
          <w:color w:val="6E6158"/>
          <w:spacing w:val="26"/>
        </w:rPr>
        <w:t> </w:t>
      </w:r>
      <w:r>
        <w:rPr>
          <w:color w:val="6E6158"/>
        </w:rPr>
        <w:t>College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  <w:r>
        <w:rPr>
          <w:color w:val="6E6158"/>
          <w:spacing w:val="26"/>
        </w:rPr>
        <w:t> </w:t>
      </w:r>
      <w:r>
        <w:rPr>
          <w:color w:val="6E6158"/>
        </w:rPr>
        <w:t>State University and her Bachelor of Arts in Political Science and History from the University of California,</w:t>
      </w:r>
      <w:r>
        <w:rPr>
          <w:color w:val="6E6158"/>
          <w:spacing w:val="40"/>
        </w:rPr>
        <w:t> </w:t>
      </w:r>
      <w:r>
        <w:rPr>
          <w:color w:val="6E6158"/>
        </w:rPr>
        <w:t>Los Angeles. Prior to joining the firm, Kristen served as a judicial clerk for the Honorable Judge</w:t>
      </w:r>
      <w:r>
        <w:rPr>
          <w:color w:val="6E6158"/>
          <w:spacing w:val="40"/>
        </w:rPr>
        <w:t> </w:t>
      </w:r>
      <w:r>
        <w:rPr>
          <w:color w:val="6E6158"/>
        </w:rPr>
        <w:t>Samuel Thumma of the Arizona Court of Appeals, Division One. She also clerked with the U.S.</w:t>
      </w:r>
      <w:r>
        <w:rPr>
          <w:color w:val="6E6158"/>
          <w:spacing w:val="40"/>
        </w:rPr>
        <w:t> </w:t>
      </w:r>
      <w:r>
        <w:rPr>
          <w:color w:val="6E6158"/>
        </w:rPr>
        <w:t>Senate’s Committee on Health, Education, Labor, and Pensions subcommittee on Oversight and</w:t>
      </w:r>
      <w:r>
        <w:rPr>
          <w:color w:val="6E6158"/>
          <w:spacing w:val="40"/>
        </w:rPr>
        <w:t> </w:t>
      </w:r>
      <w:r>
        <w:rPr>
          <w:color w:val="6E6158"/>
        </w:rPr>
        <w:t>Investigations,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well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U.S.</w:t>
      </w:r>
      <w:r>
        <w:rPr>
          <w:color w:val="6E6158"/>
          <w:spacing w:val="35"/>
        </w:rPr>
        <w:t> </w:t>
      </w:r>
      <w:r>
        <w:rPr>
          <w:color w:val="6E6158"/>
        </w:rPr>
        <w:t>House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Representatives’</w:t>
      </w:r>
      <w:r>
        <w:rPr>
          <w:color w:val="6E6158"/>
          <w:spacing w:val="35"/>
        </w:rPr>
        <w:t> </w:t>
      </w:r>
      <w:r>
        <w:rPr>
          <w:color w:val="6E6158"/>
        </w:rPr>
        <w:t>Committee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Oversight/Reform, and the Arizona Secretary of State’s Election Division.</w:t>
      </w:r>
    </w:p>
    <w:p>
      <w:pPr>
        <w:pStyle w:val="BodyText"/>
        <w:spacing w:line="292" w:lineRule="auto" w:before="199"/>
        <w:ind w:right="456"/>
      </w:pPr>
      <w:r>
        <w:rPr>
          <w:color w:val="6E6158"/>
        </w:rPr>
        <w:t>Outside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office,</w:t>
      </w:r>
      <w:r>
        <w:rPr>
          <w:color w:val="6E6158"/>
          <w:spacing w:val="16"/>
        </w:rPr>
        <w:t> </w:t>
      </w:r>
      <w:r>
        <w:rPr>
          <w:color w:val="6E6158"/>
        </w:rPr>
        <w:t>Kristen</w:t>
      </w:r>
      <w:r>
        <w:rPr>
          <w:color w:val="6E6158"/>
          <w:spacing w:val="16"/>
        </w:rPr>
        <w:t> </w:t>
      </w:r>
      <w:r>
        <w:rPr>
          <w:color w:val="6E6158"/>
        </w:rPr>
        <w:t>can</w:t>
      </w:r>
      <w:r>
        <w:rPr>
          <w:color w:val="6E6158"/>
          <w:spacing w:val="16"/>
        </w:rPr>
        <w:t> </w:t>
      </w:r>
      <w:r>
        <w:rPr>
          <w:color w:val="6E6158"/>
        </w:rPr>
        <w:t>be</w:t>
      </w:r>
      <w:r>
        <w:rPr>
          <w:color w:val="6E6158"/>
          <w:spacing w:val="16"/>
        </w:rPr>
        <w:t> </w:t>
      </w:r>
      <w:r>
        <w:rPr>
          <w:color w:val="6E6158"/>
        </w:rPr>
        <w:t>found</w:t>
      </w:r>
      <w:r>
        <w:rPr>
          <w:color w:val="6E6158"/>
          <w:spacing w:val="16"/>
        </w:rPr>
        <w:t> </w:t>
      </w:r>
      <w:r>
        <w:rPr>
          <w:color w:val="6E6158"/>
        </w:rPr>
        <w:t>climbing</w:t>
      </w:r>
      <w:r>
        <w:rPr>
          <w:color w:val="6E6158"/>
          <w:spacing w:val="16"/>
        </w:rPr>
        <w:t> </w:t>
      </w:r>
      <w:r>
        <w:rPr>
          <w:color w:val="6E6158"/>
        </w:rPr>
        <w:t>(she</w:t>
      </w:r>
      <w:r>
        <w:rPr>
          <w:color w:val="6E6158"/>
          <w:spacing w:val="16"/>
        </w:rPr>
        <w:t> </w:t>
      </w:r>
      <w:r>
        <w:rPr>
          <w:color w:val="6E6158"/>
        </w:rPr>
        <w:t>climbed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tallest</w:t>
      </w:r>
      <w:r>
        <w:rPr>
          <w:color w:val="6E6158"/>
          <w:spacing w:val="16"/>
        </w:rPr>
        <w:t> </w:t>
      </w:r>
      <w:r>
        <w:rPr>
          <w:color w:val="6E6158"/>
        </w:rPr>
        <w:t>free-standing</w:t>
      </w:r>
      <w:r>
        <w:rPr>
          <w:color w:val="6E6158"/>
          <w:spacing w:val="16"/>
        </w:rPr>
        <w:t> </w:t>
      </w:r>
      <w:r>
        <w:rPr>
          <w:color w:val="6E6158"/>
        </w:rPr>
        <w:t>mountain in the world!), jet skiing, kayaking, or putting her PADI scuba certification to good use.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Sandra</w:t>
      </w:r>
      <w:r>
        <w:rPr>
          <w:color w:val="6E6158"/>
          <w:spacing w:val="12"/>
        </w:rPr>
        <w:t> </w:t>
      </w:r>
      <w:r>
        <w:rPr>
          <w:color w:val="6E6158"/>
        </w:rPr>
        <w:t>Day</w:t>
      </w:r>
      <w:r>
        <w:rPr>
          <w:color w:val="6E6158"/>
          <w:spacing w:val="12"/>
        </w:rPr>
        <w:t> </w:t>
      </w:r>
      <w:r>
        <w:rPr>
          <w:color w:val="6E6158"/>
        </w:rPr>
        <w:t>O’Connor</w:t>
      </w:r>
      <w:r>
        <w:rPr>
          <w:color w:val="6E6158"/>
          <w:spacing w:val="12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150"/>
        <w:ind w:left="343" w:right="1874"/>
      </w:pPr>
      <w:r>
        <w:rPr>
          <w:color w:val="6E6158"/>
        </w:rPr>
        <w:t>Vice President, Government and Public Interest Law Student </w:t>
      </w:r>
      <w:r>
        <w:rPr>
          <w:color w:val="6E6158"/>
        </w:rPr>
        <w:t>Association Associate Editor, Corporate and Business Law Journal</w:t>
      </w:r>
    </w:p>
    <w:p>
      <w:pPr>
        <w:pStyle w:val="BodyText"/>
        <w:spacing w:line="427" w:lineRule="auto"/>
        <w:ind w:left="343" w:right="2082"/>
      </w:pPr>
      <w:r>
        <w:rPr>
          <w:color w:val="6E6158"/>
        </w:rPr>
        <w:t>Executive Note and Comment Editor, Corporate and Business Law </w:t>
      </w:r>
      <w:r>
        <w:rPr>
          <w:color w:val="6E6158"/>
        </w:rPr>
        <w:t>Journal Legal Method &amp; Writing TA</w:t>
      </w:r>
    </w:p>
    <w:p>
      <w:pPr>
        <w:pStyle w:val="BodyText"/>
        <w:spacing w:line="226" w:lineRule="exact"/>
        <w:ind w:left="343"/>
      </w:pPr>
      <w:r>
        <w:rPr>
          <w:color w:val="6E6158"/>
        </w:rPr>
        <w:t>Liburdi</w:t>
      </w:r>
      <w:r>
        <w:rPr>
          <w:color w:val="6E6158"/>
          <w:spacing w:val="13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Graduation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62"/>
        <w:rPr>
          <w:i/>
          <w:sz w:val="20"/>
        </w:rPr>
      </w:pPr>
      <w:r>
        <w:rPr>
          <w:color w:val="6E6158"/>
        </w:rPr>
        <w:t>B.A.,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Los</w:t>
      </w:r>
      <w:r>
        <w:rPr>
          <w:color w:val="6E6158"/>
          <w:spacing w:val="9"/>
        </w:rPr>
        <w:t> </w:t>
      </w:r>
      <w:r>
        <w:rPr>
          <w:color w:val="6E6158"/>
        </w:rPr>
        <w:t>Angeles,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8"/>
        <w:ind w:left="343"/>
      </w:pPr>
      <w:r>
        <w:rPr>
          <w:color w:val="6E6158"/>
        </w:rPr>
        <w:t>Deans</w:t>
      </w:r>
      <w:r>
        <w:rPr>
          <w:color w:val="6E6158"/>
          <w:spacing w:val="13"/>
        </w:rPr>
        <w:t> </w:t>
      </w:r>
      <w:r>
        <w:rPr>
          <w:color w:val="6E6158"/>
        </w:rPr>
        <w:t>Honors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List</w:t>
      </w:r>
    </w:p>
    <w:p>
      <w:pPr>
        <w:pStyle w:val="BodyText"/>
        <w:spacing w:before="182"/>
        <w:ind w:left="343"/>
      </w:pPr>
      <w:r>
        <w:rPr>
          <w:color w:val="6E6158"/>
        </w:rPr>
        <w:t>Executive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Colleges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Cancer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Liburdi</w:t>
      </w:r>
      <w:r>
        <w:rPr>
          <w:color w:val="6E6158"/>
          <w:spacing w:val="12"/>
        </w:rPr>
        <w:t> </w:t>
      </w:r>
      <w:r>
        <w:rPr>
          <w:color w:val="6E6158"/>
        </w:rPr>
        <w:t>Family</w:t>
      </w:r>
      <w:r>
        <w:rPr>
          <w:color w:val="6E6158"/>
          <w:spacing w:val="12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Interest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833"/>
      </w:pPr>
      <w:r>
        <w:rPr>
          <w:color w:val="6E6158"/>
        </w:rPr>
        <w:t>Co-Author,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Artificial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Intelligence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Not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Advice: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Everyday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Habits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Put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Attorney-</w:t>
        </w:r>
      </w:hyperlink>
      <w:hyperlink r:id="rId11">
        <w:r>
          <w:rPr>
            <w:color w:val="F5821F"/>
          </w:rPr>
          <w:t>Client Privilege at Risk</w:t>
        </w:r>
      </w:hyperlink>
      <w:r>
        <w:rPr>
          <w:color w:val="6E6158"/>
        </w:rPr>
        <w:t>,” Fennemore Blog, February 18, 2026</w:t>
      </w:r>
    </w:p>
    <w:p>
      <w:pPr>
        <w:pStyle w:val="BodyText"/>
        <w:spacing w:line="292" w:lineRule="auto" w:before="113"/>
        <w:ind w:right="833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Innovating with Confidence: From Idea to Impact in 2026</w:t>
        </w:r>
      </w:hyperlink>
      <w:r>
        <w:rPr>
          <w:color w:val="6E6158"/>
        </w:rPr>
        <w:t>,” Fennemore </w:t>
      </w:r>
      <w:r>
        <w:rPr>
          <w:color w:val="6E6158"/>
        </w:rPr>
        <w:t>Blog, January 26, 2026</w:t>
      </w:r>
    </w:p>
    <w:p>
      <w:pPr>
        <w:pStyle w:val="BodyText"/>
        <w:spacing w:line="292" w:lineRule="auto" w:before="132"/>
        <w:ind w:right="833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The End of Disparate Impact? DOJ Overhauls Federal Civil-Rights Enforcement,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Reshaping Compliance Obligations for Federally Funded Entities</w:t>
        </w:r>
      </w:hyperlink>
      <w:r>
        <w:rPr>
          <w:color w:val="6E6158"/>
        </w:rPr>
        <w:t>,” Fennemore Blog,</w:t>
      </w:r>
      <w:r>
        <w:rPr>
          <w:color w:val="6E6158"/>
          <w:spacing w:val="40"/>
        </w:rPr>
        <w:t> </w:t>
      </w:r>
      <w:r>
        <w:rPr>
          <w:color w:val="6E6158"/>
        </w:rPr>
        <w:t>December</w:t>
      </w:r>
      <w:r>
        <w:rPr>
          <w:color w:val="6E6158"/>
          <w:spacing w:val="40"/>
        </w:rPr>
        <w:t> </w:t>
      </w:r>
      <w:r>
        <w:rPr>
          <w:color w:val="6E6158"/>
        </w:rPr>
        <w:t>15, 2025</w:t>
      </w:r>
    </w:p>
    <w:p>
      <w:pPr>
        <w:pStyle w:val="BodyText"/>
        <w:spacing w:line="302" w:lineRule="auto" w:before="124"/>
        <w:ind w:right="680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4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BodyText"/>
        <w:spacing w:before="10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Board</w:t>
      </w:r>
      <w:r>
        <w:rPr>
          <w:color w:val="6E6158"/>
          <w:spacing w:val="8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Scottsdale/Paradise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YMCA</w:t>
      </w:r>
    </w:p>
    <w:p>
      <w:pPr>
        <w:pStyle w:val="BodyText"/>
        <w:spacing w:before="174"/>
      </w:pP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Appeals,</w:t>
      </w:r>
      <w:r>
        <w:rPr>
          <w:color w:val="6E6158"/>
          <w:spacing w:val="13"/>
        </w:rPr>
        <w:t> </w:t>
      </w:r>
      <w:r>
        <w:rPr>
          <w:color w:val="6E6158"/>
        </w:rPr>
        <w:t>Division</w:t>
      </w:r>
      <w:r>
        <w:rPr>
          <w:color w:val="6E6158"/>
          <w:spacing w:val="13"/>
        </w:rPr>
        <w:t> </w:t>
      </w:r>
      <w:r>
        <w:rPr>
          <w:color w:val="6E6158"/>
        </w:rPr>
        <w:t>One–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Clerk,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4"/>
        </w:rPr>
        <w:t>2024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iteen@fennemorelaw.com" TargetMode="External"/><Relationship Id="rId11" Type="http://schemas.openxmlformats.org/officeDocument/2006/relationships/hyperlink" Target="https://www.fennemorelaw.com/artificial-intelligence-is-not-legal-advice-everyday-habits-that-may-put-attorney-client-privilege-at-risk/" TargetMode="External"/><Relationship Id="rId12" Type="http://schemas.openxmlformats.org/officeDocument/2006/relationships/hyperlink" Target="https://www.fennemorelaw.com/innovating-with-confidence-from-idea-to-impact-in-2026/" TargetMode="External"/><Relationship Id="rId13" Type="http://schemas.openxmlformats.org/officeDocument/2006/relationships/hyperlink" Target="https://www.fennemorelaw.com/the-end-of-disparate-impact-doj-overhauls-federal-civil-rights-enforcement-reshaping-compliance-obligations-for-federally-funded-entities/" TargetMode="External"/><Relationship Id="rId14" Type="http://schemas.openxmlformats.org/officeDocument/2006/relationships/hyperlink" Target="https://www.fennemorelaw.com/disgorgement-without-harm-ninth-circuit-sets-new-stakes-for-public-companies-and-investors-across-the-western-united-stat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Kristen Iteen - Fennemore</dc:title>
  <dcterms:created xsi:type="dcterms:W3CDTF">2026-06-12T09:43:45Z</dcterms:created>
  <dcterms:modified xsi:type="dcterms:W3CDTF">2026-06-12T09:43:45Z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