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ristin Mihelic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27450" y="1369338"/>
                            <a:ext cx="185038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0389" h="320675">
                                <a:moveTo>
                                  <a:pt x="184989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49894" y="320382"/>
                                </a:lnTo>
                                <a:lnTo>
                                  <a:pt x="1849894" y="315214"/>
                                </a:lnTo>
                                <a:close/>
                              </a:path>
                              <a:path w="1850389" h="320675">
                                <a:moveTo>
                                  <a:pt x="1849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49894" y="5168"/>
                                </a:lnTo>
                                <a:lnTo>
                                  <a:pt x="1849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KRISTIN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MIHELIC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27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619.595.3205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619.231.4372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kmihelic@fennemorelaw.com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ristin Mihelic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12;top:2156;width:2914;height:505" id="docshape5" coordorigin="5713,2156" coordsize="2914,505" path="m8626,2653l5713,2653,5713,2661,8626,2661,8626,2653xm8626,2156l5713,2156,5713,2165,8626,2165,8626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KRISTIN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MIHELIC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  <w:p>
                        <w:pPr>
                          <w:tabs>
                            <w:tab w:pos="1627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619.595.3205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619.231.4372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kmihelic@fennemorelaw.com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KRISTIN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MIHELIC</w:t>
      </w:r>
    </w:p>
    <w:p>
      <w:pPr>
        <w:pStyle w:val="BodyText"/>
        <w:spacing w:line="297" w:lineRule="auto" w:before="147"/>
        <w:ind w:right="664"/>
      </w:pPr>
      <w:r>
        <w:rPr>
          <w:color w:val="6E6158"/>
        </w:rPr>
        <w:t>Kristin Mihelic is a veteran bankruptcy attorney and litigator representing debtors, </w:t>
      </w:r>
      <w:r>
        <w:rPr>
          <w:color w:val="6E6158"/>
        </w:rPr>
        <w:t>creditors,</w:t>
      </w:r>
      <w:r>
        <w:rPr>
          <w:color w:val="6E6158"/>
          <w:spacing w:val="40"/>
        </w:rPr>
        <w:t> </w:t>
      </w:r>
      <w:r>
        <w:rPr>
          <w:color w:val="6E6158"/>
        </w:rPr>
        <w:t>lenders, franchisors, trustees, and committees in bankruptcy, restructuring, and complex</w:t>
      </w:r>
      <w:r>
        <w:rPr>
          <w:color w:val="6E6158"/>
          <w:spacing w:val="40"/>
        </w:rPr>
        <w:t> </w:t>
      </w:r>
      <w:r>
        <w:rPr>
          <w:color w:val="6E6158"/>
        </w:rPr>
        <w:t>commercial litigation matters.</w:t>
      </w:r>
    </w:p>
    <w:p>
      <w:pPr>
        <w:pStyle w:val="BodyText"/>
        <w:spacing w:line="295" w:lineRule="auto" w:before="191"/>
        <w:ind w:right="664"/>
      </w:pPr>
      <w:r>
        <w:rPr>
          <w:color w:val="6E6158"/>
        </w:rPr>
        <w:t>Prior to joining Fennemore, Kristin was a Trial Attorney with the U.S. Department of Justice, U.S.</w:t>
      </w:r>
      <w:r>
        <w:rPr>
          <w:color w:val="6E6158"/>
          <w:spacing w:val="40"/>
        </w:rPr>
        <w:t> </w:t>
      </w:r>
      <w:r>
        <w:rPr>
          <w:color w:val="6E6158"/>
        </w:rPr>
        <w:t>Trustee</w:t>
      </w:r>
      <w:r>
        <w:rPr>
          <w:color w:val="6E6158"/>
          <w:spacing w:val="28"/>
        </w:rPr>
        <w:t> </w:t>
      </w:r>
      <w:r>
        <w:rPr>
          <w:color w:val="6E6158"/>
        </w:rPr>
        <w:t>Program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San</w:t>
      </w:r>
      <w:r>
        <w:rPr>
          <w:color w:val="6E6158"/>
          <w:spacing w:val="28"/>
        </w:rPr>
        <w:t> </w:t>
      </w:r>
      <w:r>
        <w:rPr>
          <w:color w:val="6E6158"/>
        </w:rPr>
        <w:t>Diego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Santa</w:t>
      </w:r>
      <w:r>
        <w:rPr>
          <w:color w:val="6E6158"/>
          <w:spacing w:val="28"/>
        </w:rPr>
        <w:t> </w:t>
      </w:r>
      <w:r>
        <w:rPr>
          <w:color w:val="6E6158"/>
        </w:rPr>
        <w:t>Ana,</w:t>
      </w:r>
      <w:r>
        <w:rPr>
          <w:color w:val="6E6158"/>
          <w:spacing w:val="28"/>
        </w:rPr>
        <w:t> </w:t>
      </w:r>
      <w:r>
        <w:rPr>
          <w:color w:val="6E6158"/>
        </w:rPr>
        <w:t>where</w:t>
      </w:r>
      <w:r>
        <w:rPr>
          <w:color w:val="6E6158"/>
          <w:spacing w:val="28"/>
        </w:rPr>
        <w:t> </w:t>
      </w:r>
      <w:r>
        <w:rPr>
          <w:color w:val="6E6158"/>
        </w:rPr>
        <w:t>she</w:t>
      </w:r>
      <w:r>
        <w:rPr>
          <w:color w:val="6E6158"/>
          <w:spacing w:val="28"/>
        </w:rPr>
        <w:t> </w:t>
      </w:r>
      <w:r>
        <w:rPr>
          <w:color w:val="6E6158"/>
        </w:rPr>
        <w:t>oversaw</w:t>
      </w:r>
      <w:r>
        <w:rPr>
          <w:color w:val="6E6158"/>
          <w:spacing w:val="28"/>
        </w:rPr>
        <w:t> </w:t>
      </w:r>
      <w:r>
        <w:rPr>
          <w:color w:val="6E6158"/>
        </w:rPr>
        <w:t>civil</w:t>
      </w:r>
      <w:r>
        <w:rPr>
          <w:color w:val="6E6158"/>
          <w:spacing w:val="28"/>
        </w:rPr>
        <w:t> </w:t>
      </w:r>
      <w:r>
        <w:rPr>
          <w:color w:val="6E6158"/>
        </w:rPr>
        <w:t>enforcement</w:t>
      </w:r>
      <w:r>
        <w:rPr>
          <w:color w:val="6E6158"/>
          <w:spacing w:val="28"/>
        </w:rPr>
        <w:t> </w:t>
      </w:r>
      <w:r>
        <w:rPr>
          <w:color w:val="6E6158"/>
        </w:rPr>
        <w:t>and Chapter 11 cases. Her work included prosecuting civil actions involving abuse of the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system,</w:t>
      </w:r>
      <w:r>
        <w:rPr>
          <w:color w:val="6E6158"/>
          <w:spacing w:val="35"/>
        </w:rPr>
        <w:t> </w:t>
      </w:r>
      <w:r>
        <w:rPr>
          <w:color w:val="6E6158"/>
        </w:rPr>
        <w:t>litigating</w:t>
      </w:r>
      <w:r>
        <w:rPr>
          <w:color w:val="6E6158"/>
          <w:spacing w:val="35"/>
        </w:rPr>
        <w:t> </w:t>
      </w:r>
      <w:r>
        <w:rPr>
          <w:color w:val="6E6158"/>
        </w:rPr>
        <w:t>contested</w:t>
      </w:r>
      <w:r>
        <w:rPr>
          <w:color w:val="6E6158"/>
          <w:spacing w:val="35"/>
        </w:rPr>
        <w:t> </w:t>
      </w:r>
      <w:r>
        <w:rPr>
          <w:color w:val="6E6158"/>
        </w:rPr>
        <w:t>matters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trials,</w:t>
      </w:r>
      <w:r>
        <w:rPr>
          <w:color w:val="6E6158"/>
          <w:spacing w:val="35"/>
        </w:rPr>
        <w:t> </w:t>
      </w:r>
      <w:r>
        <w:rPr>
          <w:color w:val="6E6158"/>
        </w:rPr>
        <w:t>supervising</w:t>
      </w:r>
      <w:r>
        <w:rPr>
          <w:color w:val="6E6158"/>
          <w:spacing w:val="35"/>
        </w:rPr>
        <w:t> </w:t>
      </w:r>
      <w:r>
        <w:rPr>
          <w:color w:val="6E6158"/>
        </w:rPr>
        <w:t>chapter</w:t>
      </w:r>
      <w:r>
        <w:rPr>
          <w:color w:val="6E6158"/>
          <w:spacing w:val="35"/>
        </w:rPr>
        <w:t> </w:t>
      </w:r>
      <w:r>
        <w:rPr>
          <w:color w:val="6E6158"/>
        </w:rPr>
        <w:t>11</w:t>
      </w:r>
      <w:r>
        <w:rPr>
          <w:color w:val="6E6158"/>
          <w:spacing w:val="35"/>
        </w:rPr>
        <w:t> </w:t>
      </w:r>
      <w:r>
        <w:rPr>
          <w:color w:val="6E6158"/>
        </w:rPr>
        <w:t>cases,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analyzing</w:t>
      </w:r>
    </w:p>
    <w:p>
      <w:pPr>
        <w:pStyle w:val="BodyText"/>
        <w:spacing w:line="302" w:lineRule="auto" w:before="1"/>
        <w:ind w:right="664"/>
      </w:pPr>
      <w:r>
        <w:rPr>
          <w:color w:val="6E6158"/>
        </w:rPr>
        <w:t>complex financial and corporate restructuring issues to ensure compliance with the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Code and applicable law.</w:t>
      </w:r>
    </w:p>
    <w:p>
      <w:pPr>
        <w:pStyle w:val="BodyText"/>
        <w:spacing w:line="295" w:lineRule="auto" w:before="186"/>
        <w:ind w:right="664"/>
      </w:pPr>
      <w:r>
        <w:rPr>
          <w:color w:val="6E6158"/>
        </w:rPr>
        <w:t>In addition to her work with the U.S. Trustee Program, Kristin was a Special Assistant U.S. Attorney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80"/>
        </w:rPr>
        <w:t> </w:t>
      </w:r>
      <w:r>
        <w:rPr>
          <w:color w:val="6E6158"/>
        </w:rPr>
        <w:t>U.S.</w:t>
      </w:r>
      <w:r>
        <w:rPr>
          <w:color w:val="6E6158"/>
          <w:spacing w:val="27"/>
        </w:rPr>
        <w:t> </w:t>
      </w:r>
      <w:r>
        <w:rPr>
          <w:color w:val="6E6158"/>
        </w:rPr>
        <w:t>Attorney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Southern</w:t>
      </w:r>
      <w:r>
        <w:rPr>
          <w:color w:val="6E6158"/>
          <w:spacing w:val="27"/>
        </w:rPr>
        <w:t> </w:t>
      </w:r>
      <w:r>
        <w:rPr>
          <w:color w:val="6E6158"/>
        </w:rPr>
        <w:t>District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California,</w:t>
      </w:r>
      <w:r>
        <w:rPr>
          <w:color w:val="6E6158"/>
          <w:spacing w:val="27"/>
        </w:rPr>
        <w:t> </w:t>
      </w:r>
      <w:r>
        <w:rPr>
          <w:color w:val="6E6158"/>
        </w:rPr>
        <w:t>where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handled</w:t>
      </w:r>
      <w:r>
        <w:rPr>
          <w:color w:val="6E6158"/>
          <w:spacing w:val="27"/>
        </w:rPr>
        <w:t> </w:t>
      </w:r>
      <w:r>
        <w:rPr>
          <w:color w:val="6E6158"/>
        </w:rPr>
        <w:t>fraud investigations and felony reactive cases tied to the U.S.–Mexico border. In this role, she managed</w:t>
      </w:r>
      <w:r>
        <w:rPr>
          <w:color w:val="6E6158"/>
          <w:spacing w:val="40"/>
        </w:rPr>
        <w:t> </w:t>
      </w:r>
      <w:r>
        <w:rPr>
          <w:color w:val="6E6158"/>
        </w:rPr>
        <w:t>cases from inception through sentencing, conducted evidentiary hearings in District Court, and</w:t>
      </w:r>
      <w:r>
        <w:rPr>
          <w:color w:val="6E6158"/>
          <w:spacing w:val="40"/>
        </w:rPr>
        <w:t> </w:t>
      </w:r>
      <w:r>
        <w:rPr>
          <w:color w:val="6E6158"/>
        </w:rPr>
        <w:t>participated in grand jury presentations. Earlier in her career, Kristin practiced at national and regional law firms representing debtors, creditors, trustees, and committees in chapter 7 and</w:t>
      </w:r>
      <w:r>
        <w:rPr>
          <w:color w:val="6E6158"/>
          <w:spacing w:val="40"/>
        </w:rPr>
        <w:t> </w:t>
      </w:r>
      <w:r>
        <w:rPr>
          <w:color w:val="6E6158"/>
        </w:rPr>
        <w:t>chapter 11 matters across the country, as well as in related commercial and real estate litigation.</w:t>
      </w:r>
      <w:r>
        <w:rPr>
          <w:color w:val="6E6158"/>
          <w:spacing w:val="40"/>
        </w:rPr>
        <w:t> </w:t>
      </w:r>
      <w:r>
        <w:rPr>
          <w:color w:val="6E6158"/>
        </w:rPr>
        <w:t>Her experience includes restructuring negotiations, contested plan confirmation proceedings,</w:t>
      </w:r>
      <w:r>
        <w:rPr>
          <w:color w:val="6E6158"/>
          <w:spacing w:val="40"/>
        </w:rPr>
        <w:t> </w:t>
      </w:r>
      <w:r>
        <w:rPr>
          <w:color w:val="6E6158"/>
        </w:rPr>
        <w:t>avoidance</w:t>
      </w:r>
      <w:r>
        <w:rPr>
          <w:color w:val="6E6158"/>
          <w:spacing w:val="38"/>
        </w:rPr>
        <w:t> </w:t>
      </w:r>
      <w:r>
        <w:rPr>
          <w:color w:val="6E6158"/>
        </w:rPr>
        <w:t>actions,</w:t>
      </w:r>
      <w:r>
        <w:rPr>
          <w:color w:val="6E6158"/>
          <w:spacing w:val="38"/>
        </w:rPr>
        <w:t> </w:t>
      </w:r>
      <w:r>
        <w:rPr>
          <w:color w:val="6E6158"/>
        </w:rPr>
        <w:t>insurance</w:t>
      </w:r>
      <w:r>
        <w:rPr>
          <w:color w:val="6E6158"/>
          <w:spacing w:val="38"/>
        </w:rPr>
        <w:t> </w:t>
      </w:r>
      <w:r>
        <w:rPr>
          <w:color w:val="6E6158"/>
        </w:rPr>
        <w:t>insolvency</w:t>
      </w:r>
      <w:r>
        <w:rPr>
          <w:color w:val="6E6158"/>
          <w:spacing w:val="38"/>
        </w:rPr>
        <w:t> </w:t>
      </w:r>
      <w:r>
        <w:rPr>
          <w:color w:val="6E6158"/>
        </w:rPr>
        <w:t>matters,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high-stakes</w:t>
      </w:r>
      <w:r>
        <w:rPr>
          <w:color w:val="6E6158"/>
          <w:spacing w:val="38"/>
        </w:rPr>
        <w:t> </w:t>
      </w:r>
      <w:r>
        <w:rPr>
          <w:color w:val="6E6158"/>
        </w:rPr>
        <w:t>arbitration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trial</w:t>
      </w:r>
      <w:r>
        <w:rPr>
          <w:color w:val="6E6158"/>
          <w:spacing w:val="38"/>
        </w:rPr>
        <w:t> </w:t>
      </w:r>
      <w:r>
        <w:rPr>
          <w:color w:val="6E6158"/>
        </w:rPr>
        <w:t>work.</w:t>
      </w:r>
    </w:p>
    <w:p>
      <w:pPr>
        <w:pStyle w:val="BodyText"/>
        <w:spacing w:line="295" w:lineRule="auto" w:before="196"/>
        <w:ind w:right="691"/>
      </w:pPr>
      <w:r>
        <w:rPr>
          <w:color w:val="6E6158"/>
        </w:rPr>
        <w:t>Kristin is also active in legal education and professional leadership. She is currently serving a</w:t>
      </w:r>
      <w:r>
        <w:rPr>
          <w:color w:val="6E6158"/>
          <w:spacing w:val="40"/>
        </w:rPr>
        <w:t> </w:t>
      </w:r>
      <w:r>
        <w:rPr>
          <w:color w:val="6E6158"/>
        </w:rPr>
        <w:t>three-year term on the Ninth Circuit Judicial Conference Executive Committee and served a</w:t>
      </w:r>
      <w:r>
        <w:rPr>
          <w:color w:val="6E6158"/>
          <w:spacing w:val="40"/>
        </w:rPr>
        <w:t> </w:t>
      </w:r>
      <w:r>
        <w:rPr>
          <w:color w:val="6E6158"/>
        </w:rPr>
        <w:t>three-year term as a Lawyer Representative for the U.S. District Court for the Southern District of</w:t>
      </w:r>
      <w:r>
        <w:rPr>
          <w:color w:val="6E6158"/>
          <w:spacing w:val="40"/>
        </w:rPr>
        <w:t> </w:t>
      </w:r>
      <w:r>
        <w:rPr>
          <w:color w:val="6E6158"/>
        </w:rPr>
        <w:t>California. She has served as an adjunct professor at multiple law schools, teaching subjects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31"/>
        </w:rPr>
        <w:t> </w:t>
      </w:r>
      <w:r>
        <w:rPr>
          <w:color w:val="6E6158"/>
        </w:rPr>
        <w:t>bankruptcy</w:t>
      </w:r>
      <w:r>
        <w:rPr>
          <w:color w:val="6E6158"/>
          <w:spacing w:val="31"/>
        </w:rPr>
        <w:t> </w:t>
      </w:r>
      <w:r>
        <w:rPr>
          <w:color w:val="6E6158"/>
        </w:rPr>
        <w:t>law,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skills,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writing,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appellate</w:t>
      </w:r>
      <w:r>
        <w:rPr>
          <w:color w:val="6E6158"/>
          <w:spacing w:val="31"/>
        </w:rPr>
        <w:t> </w:t>
      </w:r>
      <w:r>
        <w:rPr>
          <w:color w:val="6E6158"/>
        </w:rPr>
        <w:t>advocacy,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</w:p>
    <w:p>
      <w:pPr>
        <w:pStyle w:val="BodyText"/>
        <w:spacing w:line="292" w:lineRule="auto" w:before="8"/>
        <w:ind w:right="664"/>
      </w:pPr>
      <w:r>
        <w:rPr>
          <w:color w:val="6E6158"/>
        </w:rPr>
        <w:t>frequent speaker and program moderator for bar associations and professional organizations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bankruptcy, ethics, and commercial litigation topics. She has held numerous leadership roles</w:t>
      </w:r>
      <w:r>
        <w:rPr>
          <w:color w:val="6E6158"/>
          <w:spacing w:val="80"/>
        </w:rPr>
        <w:t> </w:t>
      </w:r>
      <w:r>
        <w:rPr>
          <w:color w:val="6E6158"/>
        </w:rPr>
        <w:t>within</w:t>
      </w:r>
      <w:r>
        <w:rPr>
          <w:color w:val="6E6158"/>
          <w:spacing w:val="33"/>
        </w:rPr>
        <w:t> </w:t>
      </w:r>
      <w:r>
        <w:rPr>
          <w:color w:val="6E6158"/>
        </w:rPr>
        <w:t>local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statewide</w:t>
      </w:r>
      <w:r>
        <w:rPr>
          <w:color w:val="6E6158"/>
          <w:spacing w:val="33"/>
        </w:rPr>
        <w:t> </w:t>
      </w:r>
      <w:r>
        <w:rPr>
          <w:color w:val="6E6158"/>
        </w:rPr>
        <w:t>legal</w:t>
      </w:r>
      <w:r>
        <w:rPr>
          <w:color w:val="6E6158"/>
          <w:spacing w:val="33"/>
        </w:rPr>
        <w:t> </w:t>
      </w:r>
      <w:r>
        <w:rPr>
          <w:color w:val="6E6158"/>
        </w:rPr>
        <w:t>organizations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has</w:t>
      </w:r>
      <w:r>
        <w:rPr>
          <w:color w:val="6E6158"/>
          <w:spacing w:val="33"/>
        </w:rPr>
        <w:t> </w:t>
      </w:r>
      <w:r>
        <w:rPr>
          <w:color w:val="6E6158"/>
        </w:rPr>
        <w:t>been</w:t>
      </w:r>
      <w:r>
        <w:rPr>
          <w:color w:val="6E6158"/>
          <w:spacing w:val="33"/>
        </w:rPr>
        <w:t> </w:t>
      </w:r>
      <w:r>
        <w:rPr>
          <w:color w:val="6E6158"/>
        </w:rPr>
        <w:t>recognized</w:t>
      </w:r>
      <w:r>
        <w:rPr>
          <w:color w:val="6E6158"/>
          <w:spacing w:val="33"/>
        </w:rPr>
        <w:t> </w:t>
      </w:r>
      <w:r>
        <w:rPr>
          <w:color w:val="6E6158"/>
        </w:rPr>
        <w:t>by</w:t>
      </w:r>
      <w:r>
        <w:rPr>
          <w:color w:val="6E6158"/>
          <w:spacing w:val="33"/>
        </w:rPr>
        <w:t> </w:t>
      </w:r>
      <w:r>
        <w:rPr>
          <w:color w:val="6E6158"/>
        </w:rPr>
        <w:t>regional publications for her contributions to the legal community.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Boston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343"/>
      </w:pPr>
      <w:r>
        <w:rPr>
          <w:color w:val="6E6158"/>
        </w:rPr>
        <w:t>Boston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Public</w:t>
      </w:r>
      <w:r>
        <w:rPr>
          <w:color w:val="6E6158"/>
          <w:spacing w:val="13"/>
        </w:rPr>
        <w:t> </w:t>
      </w:r>
      <w:r>
        <w:rPr>
          <w:color w:val="6E6158"/>
        </w:rPr>
        <w:t>Interest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Journal</w:t>
      </w:r>
    </w:p>
    <w:p>
      <w:pPr>
        <w:pStyle w:val="BodyText"/>
        <w:spacing w:line="427" w:lineRule="auto" w:before="174"/>
        <w:ind w:left="343" w:right="3463"/>
      </w:pPr>
      <w:r>
        <w:rPr>
          <w:color w:val="6E6158"/>
        </w:rPr>
        <w:t>Co-Director and Judge-Advisor, Esdaile Moot Court </w:t>
      </w:r>
      <w:r>
        <w:rPr>
          <w:color w:val="6E6158"/>
        </w:rPr>
        <w:t>Board Jessup International Law Moot Court Competition</w:t>
      </w:r>
    </w:p>
    <w:p>
      <w:pPr>
        <w:pStyle w:val="BodyText"/>
        <w:spacing w:line="420" w:lineRule="auto"/>
        <w:ind w:right="4911" w:firstLine="244"/>
      </w:pPr>
      <w:r>
        <w:rPr>
          <w:color w:val="6E6158"/>
        </w:rPr>
        <w:t>News Editor and Columnist, The Law </w:t>
      </w:r>
      <w:r>
        <w:rPr>
          <w:color w:val="6E6158"/>
        </w:rPr>
        <w:t>Register B.A., Northwestern University</w:t>
      </w:r>
    </w:p>
    <w:p>
      <w:pPr>
        <w:pStyle w:val="Heading1"/>
        <w:spacing w:before="275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6689"/>
      </w:pPr>
      <w:r>
        <w:rPr>
          <w:color w:val="6E6158"/>
        </w:rPr>
        <w:t>Financial </w:t>
      </w:r>
      <w:r>
        <w:rPr>
          <w:color w:val="6E6158"/>
        </w:rPr>
        <w:t>Restructuring Cannabis Business</w:t>
      </w:r>
    </w:p>
    <w:p>
      <w:pPr>
        <w:pStyle w:val="Heading1"/>
        <w:spacing w:before="276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664"/>
      </w:pPr>
      <w:r>
        <w:rPr>
          <w:color w:val="6E6158"/>
        </w:rPr>
        <w:t>Successfully tried to verdict objection to discharge adversary proceeding in three day trial</w:t>
      </w:r>
      <w:r>
        <w:rPr>
          <w:color w:val="6E6158"/>
          <w:spacing w:val="40"/>
        </w:rPr>
        <w:t> </w:t>
      </w:r>
      <w:r>
        <w:rPr>
          <w:color w:val="6E6158"/>
        </w:rPr>
        <w:t>resulting in the denial of discharge of over $500,000 in unsecured debts</w:t>
      </w:r>
    </w:p>
    <w:p>
      <w:pPr>
        <w:pStyle w:val="BodyText"/>
        <w:spacing w:line="292" w:lineRule="auto" w:before="131"/>
        <w:ind w:right="766"/>
      </w:pPr>
      <w:r>
        <w:rPr>
          <w:color w:val="6E6158"/>
        </w:rPr>
        <w:t>Litigated chapter 11 Ponzi scheme cases for Trustee appointment in chapter 11 corporate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individual cases subsequent to which the principal was charged with 84 counts of fraud and</w:t>
      </w:r>
      <w:r>
        <w:rPr>
          <w:color w:val="6E6158"/>
          <w:spacing w:val="40"/>
        </w:rPr>
        <w:t> </w:t>
      </w:r>
      <w:r>
        <w:rPr>
          <w:color w:val="6E6158"/>
        </w:rPr>
        <w:t>elder abuse and entered a guilty plea</w:t>
      </w:r>
    </w:p>
    <w:p>
      <w:pPr>
        <w:pStyle w:val="BodyText"/>
        <w:spacing w:before="124"/>
      </w:pPr>
      <w:r>
        <w:rPr>
          <w:color w:val="6E6158"/>
        </w:rPr>
        <w:t>Obtained</w:t>
      </w:r>
      <w:r>
        <w:rPr>
          <w:color w:val="6E6158"/>
          <w:spacing w:val="10"/>
        </w:rPr>
        <w:t> </w:t>
      </w:r>
      <w:r>
        <w:rPr>
          <w:color w:val="6E6158"/>
        </w:rPr>
        <w:t>waivers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discharge</w:t>
      </w:r>
      <w:r>
        <w:rPr>
          <w:color w:val="6E6158"/>
          <w:spacing w:val="12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debtors</w:t>
      </w:r>
      <w:r>
        <w:rPr>
          <w:color w:val="6E6158"/>
          <w:spacing w:val="13"/>
        </w:rPr>
        <w:t> </w:t>
      </w:r>
      <w:r>
        <w:rPr>
          <w:color w:val="6E6158"/>
        </w:rPr>
        <w:t>following</w:t>
      </w:r>
      <w:r>
        <w:rPr>
          <w:color w:val="6E6158"/>
          <w:spacing w:val="12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several</w:t>
      </w:r>
      <w:r>
        <w:rPr>
          <w:color w:val="6E6158"/>
          <w:spacing w:val="12"/>
        </w:rPr>
        <w:t> </w:t>
      </w:r>
      <w:r>
        <w:rPr>
          <w:color w:val="6E6158"/>
        </w:rPr>
        <w:t>cases,</w:t>
      </w:r>
      <w:r>
        <w:rPr>
          <w:color w:val="6E6158"/>
          <w:spacing w:val="13"/>
        </w:rPr>
        <w:t> </w:t>
      </w:r>
      <w:r>
        <w:rPr>
          <w:color w:val="6E6158"/>
        </w:rPr>
        <w:t>resulting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over</w:t>
      </w:r>
    </w:p>
    <w:p>
      <w:pPr>
        <w:pStyle w:val="BodyText"/>
        <w:spacing w:before="60"/>
      </w:pPr>
      <w:r>
        <w:rPr>
          <w:color w:val="6E6158"/>
        </w:rPr>
        <w:t>$75,000,000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unsecured</w:t>
      </w:r>
      <w:r>
        <w:rPr>
          <w:color w:val="6E6158"/>
          <w:spacing w:val="13"/>
        </w:rPr>
        <w:t> </w:t>
      </w:r>
      <w:r>
        <w:rPr>
          <w:color w:val="6E6158"/>
        </w:rPr>
        <w:t>debts</w:t>
      </w:r>
      <w:r>
        <w:rPr>
          <w:color w:val="6E6158"/>
          <w:spacing w:val="13"/>
        </w:rPr>
        <w:t> </w:t>
      </w:r>
      <w:r>
        <w:rPr>
          <w:color w:val="6E6158"/>
        </w:rPr>
        <w:t>not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discharged</w:t>
      </w:r>
    </w:p>
    <w:p>
      <w:pPr>
        <w:pStyle w:val="BodyText"/>
        <w:spacing w:line="292" w:lineRule="auto" w:before="174"/>
        <w:ind w:right="664"/>
      </w:pPr>
      <w:r>
        <w:rPr>
          <w:color w:val="6E6158"/>
        </w:rPr>
        <w:t>Litigated marijuana-adjacent chapter 11 case, resulting in dismissal of chapter 11 case filed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landlord of marijuana dispensary</w:t>
      </w:r>
    </w:p>
    <w:p>
      <w:pPr>
        <w:pStyle w:val="BodyText"/>
        <w:spacing w:line="302" w:lineRule="auto" w:before="123"/>
        <w:ind w:right="664"/>
      </w:pPr>
      <w:r>
        <w:rPr>
          <w:color w:val="6E6158"/>
        </w:rPr>
        <w:t>Litigated over 100 contested motions to convert chapter 11 cases to chapter 7 on various</w:t>
      </w:r>
      <w:r>
        <w:rPr>
          <w:color w:val="6E6158"/>
          <w:spacing w:val="40"/>
        </w:rPr>
        <w:t> </w:t>
      </w:r>
      <w:r>
        <w:rPr>
          <w:color w:val="6E6158"/>
        </w:rPr>
        <w:t>grounds, including plan feasibility and gross mismanagement of estate</w:t>
      </w:r>
    </w:p>
    <w:p>
      <w:pPr>
        <w:pStyle w:val="BodyText"/>
        <w:spacing w:line="297" w:lineRule="auto" w:before="113"/>
        <w:ind w:right="1302"/>
        <w:jc w:val="both"/>
      </w:pPr>
      <w:r>
        <w:rPr>
          <w:color w:val="6E6158"/>
        </w:rPr>
        <w:t>Represented creditors in a variety of core restructuring matters, including cash </w:t>
      </w:r>
      <w:r>
        <w:rPr>
          <w:color w:val="6E6158"/>
        </w:rPr>
        <w:t>collateral agreements for secured lenders, administrative claims for reclamation and post-petition expenses, and plan confirmation objections</w:t>
      </w:r>
    </w:p>
    <w:p>
      <w:pPr>
        <w:pStyle w:val="BodyText"/>
        <w:spacing w:line="292" w:lineRule="auto" w:before="118"/>
      </w:pPr>
      <w:r>
        <w:rPr>
          <w:color w:val="6E6158"/>
        </w:rPr>
        <w:t>Served as the firm’s lead handling attorney for creditor representation in the Kmart Corporation</w:t>
      </w:r>
      <w:r>
        <w:rPr>
          <w:color w:val="6E6158"/>
          <w:spacing w:val="40"/>
        </w:rPr>
        <w:t> </w:t>
      </w:r>
      <w:r>
        <w:rPr>
          <w:color w:val="6E6158"/>
        </w:rPr>
        <w:t>bankruptcy,</w:t>
      </w:r>
      <w:r>
        <w:rPr>
          <w:color w:val="6E6158"/>
          <w:spacing w:val="40"/>
        </w:rPr>
        <w:t> </w:t>
      </w:r>
      <w:r>
        <w:rPr>
          <w:color w:val="6E6158"/>
        </w:rPr>
        <w:t>handling</w:t>
      </w:r>
      <w:r>
        <w:rPr>
          <w:color w:val="6E6158"/>
          <w:spacing w:val="40"/>
        </w:rPr>
        <w:t> </w:t>
      </w:r>
      <w:r>
        <w:rPr>
          <w:color w:val="6E6158"/>
        </w:rPr>
        <w:t>matters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lenders,</w:t>
      </w:r>
      <w:r>
        <w:rPr>
          <w:color w:val="6E6158"/>
          <w:spacing w:val="40"/>
        </w:rPr>
        <w:t> </w:t>
      </w:r>
      <w:r>
        <w:rPr>
          <w:color w:val="6E6158"/>
        </w:rPr>
        <w:t>suppliers,</w:t>
      </w:r>
      <w:r>
        <w:rPr>
          <w:color w:val="6E6158"/>
          <w:spacing w:val="40"/>
        </w:rPr>
        <w:t> </w:t>
      </w:r>
      <w:r>
        <w:rPr>
          <w:color w:val="6E6158"/>
        </w:rPr>
        <w:t>landlords,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utility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</w:p>
    <w:p>
      <w:pPr>
        <w:pStyle w:val="BodyText"/>
        <w:spacing w:line="302" w:lineRule="auto" w:before="123"/>
        <w:ind w:right="664"/>
      </w:pPr>
      <w:r>
        <w:rPr>
          <w:color w:val="6E6158"/>
        </w:rPr>
        <w:t>Managed over 50 preference defense claims in amounts between $100,000 and $11 </w:t>
      </w:r>
      <w:r>
        <w:rPr>
          <w:color w:val="6E6158"/>
        </w:rPr>
        <w:t>million,</w:t>
      </w:r>
      <w:r>
        <w:rPr>
          <w:color w:val="6E6158"/>
          <w:spacing w:val="40"/>
        </w:rPr>
        <w:t> </w:t>
      </w:r>
      <w:r>
        <w:rPr>
          <w:color w:val="6E6158"/>
        </w:rPr>
        <w:t>resulting in settlements representing a fraction of the dollar amounts of the claims</w:t>
      </w:r>
    </w:p>
    <w:p>
      <w:pPr>
        <w:pStyle w:val="BodyText"/>
        <w:spacing w:line="292" w:lineRule="auto" w:before="113"/>
        <w:ind w:right="691"/>
      </w:pPr>
      <w:r>
        <w:rPr>
          <w:color w:val="6E6158"/>
        </w:rPr>
        <w:t>Chapter 11 creditor representation: WorldCom; FINOVA Corporation; UAL Corporation; marchFirst, Inc.; Lodgian, Inc.; Houlihan’s, Inc.; Teleglobe Communications Corporation; Hechinger</w:t>
      </w:r>
      <w:r>
        <w:rPr>
          <w:color w:val="6E6158"/>
          <w:spacing w:val="14"/>
        </w:rPr>
        <w:t> </w:t>
      </w:r>
      <w:r>
        <w:rPr>
          <w:color w:val="6E6158"/>
        </w:rPr>
        <w:t>Investment</w:t>
      </w:r>
      <w:r>
        <w:rPr>
          <w:color w:val="6E6158"/>
          <w:spacing w:val="13"/>
        </w:rPr>
        <w:t> </w:t>
      </w:r>
      <w:r>
        <w:rPr>
          <w:color w:val="6E6158"/>
        </w:rPr>
        <w:t>Corporation;</w:t>
      </w:r>
      <w:r>
        <w:rPr>
          <w:color w:val="6E6158"/>
          <w:spacing w:val="14"/>
        </w:rPr>
        <w:t> </w:t>
      </w:r>
      <w:r>
        <w:rPr>
          <w:color w:val="6E6158"/>
        </w:rPr>
        <w:t>TWA</w:t>
      </w:r>
      <w:r>
        <w:rPr>
          <w:color w:val="6E6158"/>
          <w:spacing w:val="14"/>
        </w:rPr>
        <w:t> </w:t>
      </w:r>
      <w:r>
        <w:rPr>
          <w:color w:val="6E6158"/>
        </w:rPr>
        <w:t>post-confirmation</w:t>
      </w:r>
      <w:r>
        <w:rPr>
          <w:color w:val="6E6158"/>
          <w:spacing w:val="14"/>
        </w:rPr>
        <w:t> </w:t>
      </w:r>
      <w:r>
        <w:rPr>
          <w:color w:val="6E6158"/>
        </w:rPr>
        <w:t>estate;</w:t>
      </w:r>
      <w:r>
        <w:rPr>
          <w:color w:val="6E6158"/>
          <w:spacing w:val="14"/>
        </w:rPr>
        <w:t> </w:t>
      </w:r>
      <w:r>
        <w:rPr>
          <w:color w:val="6E6158"/>
        </w:rPr>
        <w:t>Trailmobile</w:t>
      </w:r>
      <w:r>
        <w:rPr>
          <w:color w:val="6E6158"/>
          <w:spacing w:val="14"/>
        </w:rPr>
        <w:t> </w:t>
      </w:r>
      <w:r>
        <w:rPr>
          <w:color w:val="6E6158"/>
        </w:rPr>
        <w:t>Trailer,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Inc.;</w:t>
      </w:r>
    </w:p>
    <w:p>
      <w:pPr>
        <w:pStyle w:val="BodyText"/>
        <w:spacing w:line="295" w:lineRule="auto" w:before="10"/>
        <w:ind w:right="472"/>
      </w:pPr>
      <w:r>
        <w:rPr>
          <w:color w:val="6E6158"/>
        </w:rPr>
        <w:t>Contifinancial Corporation; Bangor &amp; Aroostock Railroad Company; Purely Cotton, Inc.; RHC</w:t>
      </w:r>
      <w:r>
        <w:rPr>
          <w:color w:val="6E6158"/>
          <w:spacing w:val="40"/>
        </w:rPr>
        <w:t> </w:t>
      </w:r>
      <w:r>
        <w:rPr>
          <w:color w:val="6E6158"/>
        </w:rPr>
        <w:t>Spacemaster, Inc.; Anicom, Inc.; Eagle Foods Center, Inc.; and Olympus Healthcare Group. Additional representative clients of public record included: U.S. Foodservice, Inc.; Equity Office</w:t>
      </w:r>
      <w:r>
        <w:rPr>
          <w:color w:val="6E6158"/>
          <w:spacing w:val="40"/>
        </w:rPr>
        <w:t> </w:t>
      </w:r>
      <w:r>
        <w:rPr>
          <w:color w:val="6E6158"/>
        </w:rPr>
        <w:t>Properties, LLC; LaSalle Bank, N.A.; Bank One, N.A.; Airlines Reporting Corporation; American</w:t>
      </w:r>
      <w:r>
        <w:rPr>
          <w:color w:val="6E6158"/>
          <w:spacing w:val="40"/>
        </w:rPr>
        <w:t> </w:t>
      </w:r>
      <w:r>
        <w:rPr>
          <w:color w:val="6E6158"/>
        </w:rPr>
        <w:t>National Bank; GE Capital Services; Heller Financial Leasing, Inc.; Siemens Building </w:t>
      </w:r>
      <w:r>
        <w:rPr>
          <w:color w:val="6E6158"/>
        </w:rPr>
        <w:t>Technologies,</w:t>
      </w:r>
      <w:r>
        <w:rPr>
          <w:color w:val="6E6158"/>
          <w:spacing w:val="40"/>
        </w:rPr>
        <w:t> </w:t>
      </w:r>
      <w:r>
        <w:rPr>
          <w:color w:val="6E6158"/>
        </w:rPr>
        <w:t>Inc.;</w:t>
      </w:r>
      <w:r>
        <w:rPr>
          <w:color w:val="6E6158"/>
          <w:spacing w:val="37"/>
        </w:rPr>
        <w:t> </w:t>
      </w:r>
      <w:r>
        <w:rPr>
          <w:color w:val="6E6158"/>
        </w:rPr>
        <w:t>CIT</w:t>
      </w:r>
      <w:r>
        <w:rPr>
          <w:color w:val="6E6158"/>
          <w:spacing w:val="37"/>
        </w:rPr>
        <w:t> </w:t>
      </w:r>
      <w:r>
        <w:rPr>
          <w:color w:val="6E6158"/>
        </w:rPr>
        <w:t>Communications</w:t>
      </w:r>
      <w:r>
        <w:rPr>
          <w:color w:val="6E6158"/>
          <w:spacing w:val="37"/>
        </w:rPr>
        <w:t> </w:t>
      </w:r>
      <w:r>
        <w:rPr>
          <w:color w:val="6E6158"/>
        </w:rPr>
        <w:t>Finance</w:t>
      </w:r>
      <w:r>
        <w:rPr>
          <w:color w:val="6E6158"/>
          <w:spacing w:val="37"/>
        </w:rPr>
        <w:t> </w:t>
      </w:r>
      <w:r>
        <w:rPr>
          <w:color w:val="6E6158"/>
        </w:rPr>
        <w:t>Corporation;</w:t>
      </w:r>
      <w:r>
        <w:rPr>
          <w:color w:val="6E6158"/>
          <w:spacing w:val="37"/>
        </w:rPr>
        <w:t> </w:t>
      </w:r>
      <w:r>
        <w:rPr>
          <w:color w:val="6E6158"/>
        </w:rPr>
        <w:t>Bally</w:t>
      </w:r>
      <w:r>
        <w:rPr>
          <w:color w:val="6E6158"/>
          <w:spacing w:val="37"/>
        </w:rPr>
        <w:t> </w:t>
      </w:r>
      <w:r>
        <w:rPr>
          <w:color w:val="6E6158"/>
        </w:rPr>
        <w:t>Total</w:t>
      </w:r>
      <w:r>
        <w:rPr>
          <w:color w:val="6E6158"/>
          <w:spacing w:val="37"/>
        </w:rPr>
        <w:t> </w:t>
      </w:r>
      <w:r>
        <w:rPr>
          <w:color w:val="6E6158"/>
        </w:rPr>
        <w:t>Fitness</w:t>
      </w:r>
      <w:r>
        <w:rPr>
          <w:color w:val="6E6158"/>
          <w:spacing w:val="37"/>
        </w:rPr>
        <w:t> </w:t>
      </w:r>
      <w:r>
        <w:rPr>
          <w:color w:val="6E6158"/>
        </w:rPr>
        <w:t>Corporation;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Alliant</w:t>
      </w:r>
    </w:p>
    <w:p>
      <w:pPr>
        <w:pStyle w:val="BodyText"/>
        <w:spacing w:line="231" w:lineRule="exact"/>
      </w:pPr>
      <w:r>
        <w:rPr>
          <w:color w:val="6E6158"/>
        </w:rPr>
        <w:t>Foodservice,</w:t>
      </w:r>
      <w:r>
        <w:rPr>
          <w:color w:val="6E6158"/>
          <w:spacing w:val="24"/>
        </w:rPr>
        <w:t> </w:t>
      </w:r>
      <w:r>
        <w:rPr>
          <w:color w:val="6E6158"/>
          <w:spacing w:val="-4"/>
        </w:rPr>
        <w:t>Inc.</w:t>
      </w:r>
    </w:p>
    <w:p>
      <w:pPr>
        <w:pStyle w:val="BodyText"/>
        <w:spacing w:before="174"/>
      </w:pP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creditors</w:t>
      </w:r>
      <w:r>
        <w:rPr>
          <w:color w:val="6E6158"/>
          <w:spacing w:val="14"/>
        </w:rPr>
        <w:t> </w:t>
      </w:r>
      <w:r>
        <w:rPr>
          <w:color w:val="6E6158"/>
        </w:rPr>
        <w:t>committee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liquidating</w:t>
      </w:r>
      <w:r>
        <w:rPr>
          <w:color w:val="6E6158"/>
          <w:spacing w:val="14"/>
        </w:rPr>
        <w:t> </w:t>
      </w:r>
      <w:r>
        <w:rPr>
          <w:color w:val="6E6158"/>
        </w:rPr>
        <w:t>trust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medical</w:t>
      </w:r>
      <w:r>
        <w:rPr>
          <w:color w:val="6E6158"/>
          <w:spacing w:val="14"/>
        </w:rPr>
        <w:t> </w:t>
      </w:r>
      <w:r>
        <w:rPr>
          <w:color w:val="6E6158"/>
        </w:rPr>
        <w:t>provider</w:t>
      </w:r>
      <w:r>
        <w:rPr>
          <w:color w:val="6E6158"/>
          <w:spacing w:val="14"/>
        </w:rPr>
        <w:t> </w:t>
      </w:r>
      <w:r>
        <w:rPr>
          <w:color w:val="6E6158"/>
        </w:rPr>
        <w:t>chapter</w:t>
      </w:r>
      <w:r>
        <w:rPr>
          <w:color w:val="6E6158"/>
          <w:spacing w:val="14"/>
        </w:rPr>
        <w:t> </w:t>
      </w:r>
      <w:r>
        <w:rPr>
          <w:color w:val="6E6158"/>
        </w:rPr>
        <w:t>11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case</w:t>
      </w:r>
    </w:p>
    <w:p>
      <w:pPr>
        <w:pStyle w:val="BodyText"/>
        <w:spacing w:line="292" w:lineRule="auto" w:before="182"/>
        <w:ind w:right="1358"/>
        <w:jc w:val="both"/>
      </w:pPr>
      <w:r>
        <w:rPr>
          <w:color w:val="6E6158"/>
        </w:rPr>
        <w:t>Represented franchisors in franchisee bankruptcy cases and managed issues </w:t>
      </w:r>
      <w:r>
        <w:rPr>
          <w:color w:val="6E6158"/>
        </w:rPr>
        <w:t>regarding assumption and cure of intellectual property agreements</w:t>
      </w:r>
    </w:p>
    <w:p>
      <w:pPr>
        <w:pStyle w:val="BodyText"/>
        <w:spacing w:after="0" w:line="292" w:lineRule="auto"/>
        <w:jc w:val="both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64"/>
      </w:pPr>
      <w:r>
        <w:rPr>
          <w:color w:val="6E6158"/>
        </w:rPr>
        <w:t>Served as second chair in three complex and sizable reinsurance arbitration </w:t>
      </w:r>
      <w:r>
        <w:rPr>
          <w:color w:val="6E6158"/>
        </w:rPr>
        <w:t>proceedings involving fraud and misrepresentation actions</w:t>
      </w:r>
    </w:p>
    <w:p>
      <w:pPr>
        <w:pStyle w:val="BodyText"/>
        <w:spacing w:line="292" w:lineRule="auto" w:before="132"/>
        <w:ind w:right="664"/>
      </w:pPr>
      <w:r>
        <w:rPr>
          <w:color w:val="6E6158"/>
        </w:rPr>
        <w:t>Served as second chair in a $22 million construction delay claim including substantial </w:t>
      </w:r>
      <w:r>
        <w:rPr>
          <w:color w:val="6E6158"/>
        </w:rPr>
        <w:t>economic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losses</w:t>
      </w:r>
    </w:p>
    <w:p>
      <w:pPr>
        <w:pStyle w:val="BodyText"/>
        <w:spacing w:before="123"/>
      </w:pPr>
      <w:r>
        <w:rPr>
          <w:color w:val="6E6158"/>
        </w:rPr>
        <w:t>Led</w:t>
      </w:r>
      <w:r>
        <w:rPr>
          <w:color w:val="6E6158"/>
          <w:spacing w:val="11"/>
        </w:rPr>
        <w:t> </w:t>
      </w:r>
      <w:r>
        <w:rPr>
          <w:color w:val="6E6158"/>
        </w:rPr>
        <w:t>litigation</w:t>
      </w:r>
      <w:r>
        <w:rPr>
          <w:color w:val="6E6158"/>
          <w:spacing w:val="11"/>
        </w:rPr>
        <w:t> </w:t>
      </w:r>
      <w:r>
        <w:rPr>
          <w:color w:val="6E6158"/>
        </w:rPr>
        <w:t>teams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attorneys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support</w:t>
      </w:r>
      <w:r>
        <w:rPr>
          <w:color w:val="6E6158"/>
          <w:spacing w:val="12"/>
        </w:rPr>
        <w:t> </w:t>
      </w:r>
      <w:r>
        <w:rPr>
          <w:color w:val="6E6158"/>
        </w:rPr>
        <w:t>staff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commercial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line="302" w:lineRule="auto" w:before="174"/>
        <w:ind w:right="664"/>
      </w:pPr>
      <w:r>
        <w:rPr>
          <w:color w:val="6E6158"/>
        </w:rPr>
        <w:t>Conducted an evidentiary hearing for the imposition of sex offender conditions in </w:t>
      </w:r>
      <w:r>
        <w:rPr>
          <w:color w:val="6E6158"/>
        </w:rPr>
        <w:t>connection</w:t>
      </w:r>
      <w:r>
        <w:rPr>
          <w:color w:val="6E6158"/>
          <w:spacing w:val="40"/>
        </w:rPr>
        <w:t> </w:t>
      </w:r>
      <w:r>
        <w:rPr>
          <w:color w:val="6E6158"/>
        </w:rPr>
        <w:t>with supervised release</w:t>
      </w:r>
    </w:p>
    <w:p>
      <w:pPr>
        <w:pStyle w:val="BodyText"/>
        <w:spacing w:before="113"/>
      </w:pPr>
      <w:r>
        <w:rPr>
          <w:color w:val="6E6158"/>
        </w:rPr>
        <w:t>Managed</w:t>
      </w:r>
      <w:r>
        <w:rPr>
          <w:color w:val="6E6158"/>
          <w:spacing w:val="13"/>
        </w:rPr>
        <w:t> </w:t>
      </w:r>
      <w:r>
        <w:rPr>
          <w:color w:val="6E6158"/>
        </w:rPr>
        <w:t>approximately</w:t>
      </w:r>
      <w:r>
        <w:rPr>
          <w:color w:val="6E6158"/>
          <w:spacing w:val="13"/>
        </w:rPr>
        <w:t> </w:t>
      </w:r>
      <w:r>
        <w:rPr>
          <w:color w:val="6E6158"/>
        </w:rPr>
        <w:t>50</w:t>
      </w:r>
      <w:r>
        <w:rPr>
          <w:color w:val="6E6158"/>
          <w:spacing w:val="13"/>
        </w:rPr>
        <w:t> </w:t>
      </w:r>
      <w:r>
        <w:rPr>
          <w:color w:val="6E6158"/>
        </w:rPr>
        <w:t>felony</w:t>
      </w:r>
      <w:r>
        <w:rPr>
          <w:color w:val="6E6158"/>
          <w:spacing w:val="14"/>
        </w:rPr>
        <w:t> </w:t>
      </w:r>
      <w:r>
        <w:rPr>
          <w:color w:val="6E6158"/>
        </w:rPr>
        <w:t>cases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plea</w:t>
      </w:r>
      <w:r>
        <w:rPr>
          <w:color w:val="6E6158"/>
          <w:spacing w:val="14"/>
        </w:rPr>
        <w:t> </w:t>
      </w:r>
      <w:r>
        <w:rPr>
          <w:color w:val="6E6158"/>
        </w:rPr>
        <w:t>agreements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sentencings</w:t>
      </w:r>
    </w:p>
    <w:p>
      <w:pPr>
        <w:pStyle w:val="BodyText"/>
        <w:spacing w:line="292" w:lineRule="auto" w:before="174"/>
        <w:ind w:right="664"/>
      </w:pPr>
      <w:r>
        <w:rPr>
          <w:color w:val="6E6158"/>
        </w:rPr>
        <w:t>Worked with the Major Frauds Section of the U.S. Attorneys Office as a Special Assistant U.S.</w:t>
      </w:r>
      <w:r>
        <w:rPr>
          <w:color w:val="6E6158"/>
          <w:spacing w:val="40"/>
        </w:rPr>
        <w:t> </w:t>
      </w:r>
      <w:r>
        <w:rPr>
          <w:color w:val="6E6158"/>
        </w:rPr>
        <w:t>Attorney to investigate investment schemes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2756"/>
      </w:pPr>
      <w:r>
        <w:rPr>
          <w:color w:val="6E6158"/>
        </w:rPr>
        <w:t>Justice in Action Award, South Asian Bar Association of San Diego, </w:t>
      </w:r>
      <w:r>
        <w:rPr>
          <w:color w:val="6E6158"/>
        </w:rPr>
        <w:t>2025 San Diego Business Journal Woman Of Influence In Law</w:t>
      </w:r>
    </w:p>
    <w:p>
      <w:pPr>
        <w:pStyle w:val="BodyText"/>
        <w:spacing w:line="231" w:lineRule="exact"/>
      </w:pP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Diego</w:t>
      </w:r>
      <w:r>
        <w:rPr>
          <w:color w:val="6E6158"/>
          <w:spacing w:val="13"/>
        </w:rPr>
        <w:t> </w:t>
      </w:r>
      <w:r>
        <w:rPr>
          <w:color w:val="6E6158"/>
        </w:rPr>
        <w:t>Magazine</w:t>
      </w:r>
      <w:r>
        <w:rPr>
          <w:color w:val="6E6158"/>
          <w:spacing w:val="14"/>
        </w:rPr>
        <w:t> </w:t>
      </w:r>
      <w:r>
        <w:rPr>
          <w:color w:val="6E6158"/>
        </w:rPr>
        <w:t>Leader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Celebrating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Women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664"/>
      </w:pPr>
      <w:r>
        <w:rPr>
          <w:color w:val="6E6158"/>
        </w:rPr>
        <w:t>Panelist, “One Year Later: Lessons Learned From The Snitch Rule,” Federal Bar Association — Los</w:t>
      </w:r>
      <w:r>
        <w:rPr>
          <w:color w:val="6E6158"/>
          <w:spacing w:val="40"/>
        </w:rPr>
        <w:t> </w:t>
      </w:r>
      <w:r>
        <w:rPr>
          <w:color w:val="6E6158"/>
        </w:rPr>
        <w:t>Angeles Chapter, November 15, 2024</w:t>
      </w:r>
    </w:p>
    <w:p>
      <w:pPr>
        <w:pStyle w:val="BodyText"/>
        <w:spacing w:line="292" w:lineRule="auto" w:before="124"/>
        <w:ind w:right="664"/>
      </w:pPr>
      <w:r>
        <w:rPr>
          <w:color w:val="6E6158"/>
        </w:rPr>
        <w:t>Panelist, “Navigating the New Rule of Professional Conduct 8.3,” Federal Bar Association — </w:t>
      </w:r>
      <w:r>
        <w:rPr>
          <w:color w:val="6E6158"/>
        </w:rPr>
        <w:t>Los</w:t>
      </w:r>
      <w:r>
        <w:rPr>
          <w:color w:val="6E6158"/>
          <w:spacing w:val="40"/>
        </w:rPr>
        <w:t> </w:t>
      </w:r>
      <w:r>
        <w:rPr>
          <w:color w:val="6E6158"/>
        </w:rPr>
        <w:t>Angeles Chapter, October 20, 2023</w:t>
      </w:r>
    </w:p>
    <w:p>
      <w:pPr>
        <w:pStyle w:val="BodyText"/>
        <w:spacing w:line="292" w:lineRule="auto" w:before="131"/>
        <w:ind w:right="664"/>
      </w:pPr>
      <w:r>
        <w:rPr>
          <w:color w:val="6E6158"/>
        </w:rPr>
        <w:t>Producer and Moderator, “The Future of Student Loan Forgiveness and Dischargeability: A Conversation</w:t>
      </w:r>
      <w:r>
        <w:rPr>
          <w:color w:val="6E6158"/>
          <w:spacing w:val="20"/>
        </w:rPr>
        <w:t> </w:t>
      </w:r>
      <w:r>
        <w:rPr>
          <w:color w:val="6E6158"/>
        </w:rPr>
        <w:t>with</w:t>
      </w:r>
      <w:r>
        <w:rPr>
          <w:color w:val="6E6158"/>
          <w:spacing w:val="20"/>
        </w:rPr>
        <w:t> </w:t>
      </w:r>
      <w:r>
        <w:rPr>
          <w:color w:val="6E6158"/>
        </w:rPr>
        <w:t>Dean</w:t>
      </w:r>
      <w:r>
        <w:rPr>
          <w:color w:val="6E6158"/>
          <w:spacing w:val="20"/>
        </w:rPr>
        <w:t> </w:t>
      </w:r>
      <w:r>
        <w:rPr>
          <w:color w:val="6E6158"/>
        </w:rPr>
        <w:t>Erwin</w:t>
      </w:r>
      <w:r>
        <w:rPr>
          <w:color w:val="6E6158"/>
          <w:spacing w:val="20"/>
        </w:rPr>
        <w:t> </w:t>
      </w:r>
      <w:r>
        <w:rPr>
          <w:color w:val="6E6158"/>
        </w:rPr>
        <w:t>Chemerinsky,”</w:t>
      </w:r>
      <w:r>
        <w:rPr>
          <w:color w:val="6E6158"/>
          <w:spacing w:val="20"/>
        </w:rPr>
        <w:t> </w:t>
      </w:r>
      <w:r>
        <w:rPr>
          <w:color w:val="6E6158"/>
        </w:rPr>
        <w:t>California</w:t>
      </w:r>
      <w:r>
        <w:rPr>
          <w:color w:val="6E6158"/>
          <w:spacing w:val="20"/>
        </w:rPr>
        <w:t> </w:t>
      </w:r>
      <w:r>
        <w:rPr>
          <w:color w:val="6E6158"/>
        </w:rPr>
        <w:t>Lawyers</w:t>
      </w:r>
      <w:r>
        <w:rPr>
          <w:color w:val="6E6158"/>
          <w:spacing w:val="20"/>
        </w:rPr>
        <w:t> </w:t>
      </w:r>
      <w:r>
        <w:rPr>
          <w:color w:val="6E6158"/>
        </w:rPr>
        <w:t>Association,</w:t>
      </w:r>
      <w:r>
        <w:rPr>
          <w:color w:val="6E6158"/>
          <w:spacing w:val="20"/>
        </w:rPr>
        <w:t> </w:t>
      </w:r>
      <w:r>
        <w:rPr>
          <w:color w:val="6E6158"/>
        </w:rPr>
        <w:t>August</w:t>
      </w:r>
      <w:r>
        <w:rPr>
          <w:color w:val="6E6158"/>
          <w:spacing w:val="20"/>
        </w:rPr>
        <w:t> </w:t>
      </w:r>
      <w:r>
        <w:rPr>
          <w:color w:val="6E6158"/>
        </w:rPr>
        <w:t>14,</w:t>
      </w:r>
      <w:r>
        <w:rPr>
          <w:color w:val="6E6158"/>
          <w:spacing w:val="20"/>
        </w:rPr>
        <w:t> </w:t>
      </w:r>
      <w:r>
        <w:rPr>
          <w:color w:val="6E6158"/>
        </w:rPr>
        <w:t>2023</w:t>
      </w:r>
    </w:p>
    <w:p>
      <w:pPr>
        <w:pStyle w:val="BodyText"/>
        <w:spacing w:line="302" w:lineRule="auto" w:before="123"/>
        <w:ind w:right="766"/>
      </w:pPr>
      <w:r>
        <w:rPr>
          <w:color w:val="6E6158"/>
        </w:rPr>
        <w:t>Panelist, “Special Topics in Chapter 11 Practice: Navigating Your Case to </w:t>
      </w:r>
      <w:r>
        <w:rPr>
          <w:color w:val="6E6158"/>
        </w:rPr>
        <w:t>Confirmation, Insolvency Law Committee,” California Lawyers Association, July 14, 2022</w:t>
      </w:r>
    </w:p>
    <w:p>
      <w:pPr>
        <w:pStyle w:val="BodyText"/>
        <w:spacing w:before="113"/>
      </w:pP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“Chapter</w:t>
      </w:r>
      <w:r>
        <w:rPr>
          <w:color w:val="6E6158"/>
          <w:spacing w:val="12"/>
        </w:rPr>
        <w:t> </w:t>
      </w:r>
      <w:r>
        <w:rPr>
          <w:color w:val="6E6158"/>
        </w:rPr>
        <w:t>11:</w:t>
      </w:r>
      <w:r>
        <w:rPr>
          <w:color w:val="6E6158"/>
          <w:spacing w:val="12"/>
        </w:rPr>
        <w:t> </w:t>
      </w:r>
      <w:r>
        <w:rPr>
          <w:color w:val="6E6158"/>
        </w:rPr>
        <w:t>Back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Basics,”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Diego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Forumm</w:t>
      </w:r>
      <w:r>
        <w:rPr>
          <w:color w:val="6E6158"/>
          <w:spacing w:val="12"/>
        </w:rPr>
        <w:t> </w:t>
      </w:r>
      <w:r>
        <w:rPr>
          <w:color w:val="6E6158"/>
        </w:rPr>
        <w:t>December</w:t>
      </w:r>
      <w:r>
        <w:rPr>
          <w:color w:val="6E6158"/>
          <w:spacing w:val="12"/>
        </w:rPr>
        <w:t> </w:t>
      </w:r>
      <w:r>
        <w:rPr>
          <w:color w:val="6E6158"/>
        </w:rPr>
        <w:t>7,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74"/>
        <w:ind w:right="472"/>
      </w:pPr>
      <w:r>
        <w:rPr>
          <w:color w:val="6E6158"/>
        </w:rPr>
        <w:t>Producer and Moderator, “Bankruptcy Primer for Small Businesses,” Insolvency Law Committee </w:t>
      </w:r>
      <w:r>
        <w:rPr>
          <w:color w:val="6E6158"/>
        </w:rPr>
        <w:t>of the California Lawyers Association, June 24, 2021</w:t>
      </w:r>
    </w:p>
    <w:p>
      <w:pPr>
        <w:pStyle w:val="BodyText"/>
        <w:spacing w:line="292" w:lineRule="auto" w:before="132"/>
        <w:ind w:right="664"/>
      </w:pPr>
      <w:r>
        <w:rPr>
          <w:color w:val="6E6158"/>
        </w:rPr>
        <w:t>Producer and Moderator, “One Year Later: Retrospection on Sub-Chapter V </w:t>
      </w:r>
      <w:r>
        <w:rPr>
          <w:color w:val="6E6158"/>
        </w:rPr>
        <w:t>Bankruptcy Practice,”</w:t>
      </w:r>
      <w:r>
        <w:rPr>
          <w:color w:val="6E6158"/>
          <w:spacing w:val="40"/>
        </w:rPr>
        <w:t> </w:t>
      </w:r>
      <w:r>
        <w:rPr>
          <w:color w:val="6E6158"/>
        </w:rPr>
        <w:t>Insolvency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Committee,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</w:t>
      </w:r>
      <w:r>
        <w:rPr>
          <w:color w:val="6E6158"/>
          <w:spacing w:val="40"/>
        </w:rPr>
        <w:t> </w:t>
      </w:r>
      <w:r>
        <w:rPr>
          <w:color w:val="6E6158"/>
        </w:rPr>
        <w:t>Association,</w:t>
      </w:r>
      <w:r>
        <w:rPr>
          <w:color w:val="6E6158"/>
          <w:spacing w:val="40"/>
        </w:rPr>
        <w:t> </w:t>
      </w:r>
      <w:r>
        <w:rPr>
          <w:color w:val="6E6158"/>
        </w:rPr>
        <w:t>April</w:t>
      </w:r>
      <w:r>
        <w:rPr>
          <w:color w:val="6E6158"/>
          <w:spacing w:val="40"/>
        </w:rPr>
        <w:t> </w:t>
      </w:r>
      <w:r>
        <w:rPr>
          <w:color w:val="6E6158"/>
        </w:rPr>
        <w:t>22,</w:t>
      </w:r>
      <w:r>
        <w:rPr>
          <w:color w:val="6E6158"/>
          <w:spacing w:val="40"/>
        </w:rPr>
        <w:t> </w:t>
      </w:r>
      <w:r>
        <w:rPr>
          <w:color w:val="6E6158"/>
        </w:rPr>
        <w:t>2021</w:t>
      </w:r>
    </w:p>
    <w:p>
      <w:pPr>
        <w:pStyle w:val="BodyText"/>
        <w:spacing w:line="292" w:lineRule="auto" w:before="123"/>
        <w:ind w:right="472"/>
      </w:pPr>
      <w:r>
        <w:rPr>
          <w:color w:val="6E6158"/>
        </w:rPr>
        <w:t>Panelist, “The Small Business Reorganization Act: A Primer and Path for the Future (Part II),” San</w:t>
      </w:r>
      <w:r>
        <w:rPr>
          <w:color w:val="6E6158"/>
          <w:spacing w:val="40"/>
        </w:rPr>
        <w:t> </w:t>
      </w:r>
      <w:r>
        <w:rPr>
          <w:color w:val="6E6158"/>
        </w:rPr>
        <w:t>Diego Bankruptcy Forum, June 16, 2020</w:t>
      </w:r>
    </w:p>
    <w:p>
      <w:pPr>
        <w:pStyle w:val="BodyText"/>
        <w:spacing w:line="292" w:lineRule="auto" w:before="131"/>
        <w:ind w:right="766"/>
      </w:pPr>
      <w:r>
        <w:rPr>
          <w:color w:val="6E6158"/>
        </w:rPr>
        <w:t>Producer and Moderator, “The Small Business Reorganization Act: A Primer and Path for the Future (Part I),” San Diego Bankruptcy Forum, May 28, 2020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/>
        <w:ind w:right="636"/>
      </w:pPr>
      <w:r>
        <w:rPr>
          <w:color w:val="6E6158"/>
        </w:rPr>
        <w:t>Adjunct</w:t>
      </w:r>
      <w:r>
        <w:rPr>
          <w:color w:val="6E6158"/>
          <w:spacing w:val="13"/>
        </w:rPr>
        <w:t> </w:t>
      </w:r>
      <w:r>
        <w:rPr>
          <w:color w:val="6E6158"/>
        </w:rPr>
        <w:t>Professor,</w:t>
      </w:r>
      <w:r>
        <w:rPr>
          <w:color w:val="6E6158"/>
          <w:spacing w:val="13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Transactional</w:t>
      </w:r>
      <w:r>
        <w:rPr>
          <w:color w:val="6E6158"/>
          <w:spacing w:val="13"/>
        </w:rPr>
        <w:t> </w:t>
      </w:r>
      <w:r>
        <w:rPr>
          <w:color w:val="6E6158"/>
        </w:rPr>
        <w:t>Skills,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Diego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Law,</w:t>
      </w:r>
      <w:r>
        <w:rPr>
          <w:color w:val="6E6158"/>
          <w:spacing w:val="13"/>
        </w:rPr>
        <w:t> </w:t>
      </w:r>
      <w:r>
        <w:rPr>
          <w:color w:val="6E6158"/>
        </w:rPr>
        <w:t>2019-</w:t>
      </w:r>
      <w:r>
        <w:rPr>
          <w:color w:val="6E6158"/>
          <w:spacing w:val="-2"/>
        </w:rPr>
        <w:t>Present</w:t>
      </w:r>
    </w:p>
    <w:p>
      <w:pPr>
        <w:pStyle w:val="BodyText"/>
        <w:spacing w:before="113"/>
      </w:pPr>
      <w:r>
        <w:rPr>
          <w:color w:val="6E6158"/>
        </w:rPr>
        <w:t>Adjunct</w:t>
      </w:r>
      <w:r>
        <w:rPr>
          <w:color w:val="6E6158"/>
          <w:spacing w:val="11"/>
        </w:rPr>
        <w:t> </w:t>
      </w:r>
      <w:r>
        <w:rPr>
          <w:color w:val="6E6158"/>
        </w:rPr>
        <w:t>Professor,</w:t>
      </w:r>
      <w:r>
        <w:rPr>
          <w:color w:val="6E6158"/>
          <w:spacing w:val="11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Western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74"/>
      </w:pPr>
      <w:r>
        <w:rPr>
          <w:color w:val="6E6158"/>
        </w:rPr>
        <w:t>Guest</w:t>
      </w:r>
      <w:r>
        <w:rPr>
          <w:color w:val="6E6158"/>
          <w:spacing w:val="8"/>
        </w:rPr>
        <w:t> </w:t>
      </w:r>
      <w:r>
        <w:rPr>
          <w:color w:val="6E6158"/>
        </w:rPr>
        <w:t>Lecturer,</w:t>
      </w:r>
      <w:r>
        <w:rPr>
          <w:color w:val="6E6158"/>
          <w:spacing w:val="10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Advocacy,</w:t>
      </w:r>
      <w:r>
        <w:rPr>
          <w:color w:val="6E6158"/>
          <w:spacing w:val="11"/>
        </w:rPr>
        <w:t> </w:t>
      </w:r>
      <w:r>
        <w:rPr>
          <w:color w:val="6E6158"/>
        </w:rPr>
        <w:t>Rutgers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Camden,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2009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3"/>
        <w:ind w:right="664"/>
      </w:pPr>
      <w:r>
        <w:rPr>
          <w:color w:val="6E6158"/>
        </w:rPr>
        <w:t>Adjunct Professor, Legal Writing and Appellate Advocacy, John Marshall Law School, 2000-</w:t>
      </w:r>
      <w:r>
        <w:rPr>
          <w:color w:val="6E6158"/>
        </w:rPr>
        <w:t>2002 Member, Ninth Circuit Judicial Conference Executive Committee, 2025- Present</w:t>
      </w:r>
    </w:p>
    <w:p>
      <w:pPr>
        <w:pStyle w:val="BodyText"/>
        <w:spacing w:line="292" w:lineRule="auto" w:before="7"/>
        <w:ind w:right="945"/>
      </w:pPr>
      <w:r>
        <w:rPr>
          <w:color w:val="6E6158"/>
        </w:rPr>
        <w:t>Former Lawyer Representative for the U.S. District Court for the Southern District of </w:t>
      </w:r>
      <w:r>
        <w:rPr>
          <w:color w:val="6E6158"/>
        </w:rPr>
        <w:t>California,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2022-2025</w:t>
      </w:r>
    </w:p>
    <w:p>
      <w:pPr>
        <w:pStyle w:val="BodyText"/>
        <w:spacing w:line="292" w:lineRule="auto" w:before="123"/>
        <w:ind w:right="683"/>
      </w:pP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History</w:t>
      </w:r>
      <w:r>
        <w:rPr>
          <w:color w:val="6E6158"/>
          <w:spacing w:val="13"/>
        </w:rPr>
        <w:t> </w:t>
      </w:r>
      <w:r>
        <w:rPr>
          <w:color w:val="6E6158"/>
        </w:rPr>
        <w:t>Committee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Southern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3"/>
        </w:rPr>
        <w:t> </w:t>
      </w:r>
      <w:r>
        <w:rPr>
          <w:color w:val="6E6158"/>
        </w:rPr>
        <w:t>2024-</w:t>
      </w:r>
      <w:r>
        <w:rPr>
          <w:color w:val="6E6158"/>
          <w:spacing w:val="-2"/>
        </w:rPr>
        <w:t>Present</w:t>
      </w:r>
    </w:p>
    <w:p>
      <w:pPr>
        <w:pStyle w:val="BodyText"/>
        <w:spacing w:before="132"/>
      </w:pPr>
      <w:r>
        <w:rPr>
          <w:color w:val="6E6158"/>
        </w:rPr>
        <w:t>Professional</w:t>
      </w:r>
      <w:r>
        <w:rPr>
          <w:color w:val="6E6158"/>
          <w:spacing w:val="18"/>
        </w:rPr>
        <w:t> </w:t>
      </w:r>
      <w:r>
        <w:rPr>
          <w:color w:val="6E6158"/>
        </w:rPr>
        <w:t>Development</w:t>
      </w:r>
      <w:r>
        <w:rPr>
          <w:color w:val="6E6158"/>
          <w:spacing w:val="19"/>
        </w:rPr>
        <w:t> </w:t>
      </w:r>
      <w:r>
        <w:rPr>
          <w:color w:val="6E6158"/>
        </w:rPr>
        <w:t>Committee,</w:t>
      </w:r>
      <w:r>
        <w:rPr>
          <w:color w:val="6E6158"/>
          <w:spacing w:val="18"/>
        </w:rPr>
        <w:t> </w:t>
      </w:r>
      <w:r>
        <w:rPr>
          <w:color w:val="6E6158"/>
        </w:rPr>
        <w:t>Federal</w:t>
      </w:r>
      <w:r>
        <w:rPr>
          <w:color w:val="6E6158"/>
          <w:spacing w:val="19"/>
        </w:rPr>
        <w:t> </w:t>
      </w:r>
      <w:r>
        <w:rPr>
          <w:color w:val="6E6158"/>
        </w:rPr>
        <w:t>Bar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73"/>
        <w:ind w:right="766"/>
      </w:pPr>
      <w:r>
        <w:rPr>
          <w:color w:val="6E6158"/>
        </w:rPr>
        <w:t>Executive Committee Member and Former Vice-Chair, Business Law Section — </w:t>
      </w:r>
      <w:r>
        <w:rPr>
          <w:color w:val="6E6158"/>
        </w:rPr>
        <w:t>California Lawyers Association</w:t>
      </w:r>
    </w:p>
    <w:p>
      <w:pPr>
        <w:pStyle w:val="BodyText"/>
        <w:spacing w:before="124"/>
      </w:pP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Directors,</w:t>
      </w:r>
      <w:r>
        <w:rPr>
          <w:color w:val="6E6158"/>
          <w:spacing w:val="12"/>
        </w:rPr>
        <w:t> </w: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Diego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Forum</w:t>
      </w:r>
    </w:p>
    <w:p>
      <w:pPr>
        <w:pStyle w:val="BodyText"/>
        <w:spacing w:line="292" w:lineRule="auto" w:before="182"/>
      </w:pPr>
      <w:r>
        <w:rPr>
          <w:color w:val="6E6158"/>
        </w:rPr>
        <w:t>Board of Directors, International Women’s Insolvency &amp; Restructuring Confederation — </w:t>
      </w:r>
      <w:r>
        <w:rPr>
          <w:color w:val="6E6158"/>
        </w:rPr>
        <w:t>Southern</w:t>
      </w:r>
      <w:r>
        <w:rPr>
          <w:color w:val="6E6158"/>
          <w:spacing w:val="40"/>
        </w:rPr>
        <w:t> </w:t>
      </w:r>
      <w:r>
        <w:rPr>
          <w:color w:val="6E6158"/>
        </w:rPr>
        <w:t>California Network</w:t>
      </w:r>
    </w:p>
    <w:p>
      <w:pPr>
        <w:pStyle w:val="BodyText"/>
        <w:spacing w:before="123"/>
      </w:pPr>
      <w:r>
        <w:rPr>
          <w:color w:val="6E6158"/>
        </w:rPr>
        <w:t>Former</w:t>
      </w:r>
      <w:r>
        <w:rPr>
          <w:color w:val="6E6158"/>
          <w:spacing w:val="15"/>
        </w:rPr>
        <w:t> </w:t>
      </w:r>
      <w:r>
        <w:rPr>
          <w:color w:val="6E6158"/>
        </w:rPr>
        <w:t>President,</w:t>
      </w:r>
      <w:r>
        <w:rPr>
          <w:color w:val="6E6158"/>
          <w:spacing w:val="15"/>
        </w:rPr>
        <w:t> </w:t>
      </w:r>
      <w:r>
        <w:rPr>
          <w:color w:val="6E6158"/>
        </w:rPr>
        <w:t>Northwestern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Club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San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Diego</w:t>
      </w:r>
    </w:p>
    <w:p>
      <w:pPr>
        <w:pStyle w:val="BodyText"/>
        <w:spacing w:line="302" w:lineRule="auto" w:before="174"/>
        <w:ind w:right="664"/>
      </w:pPr>
      <w:r>
        <w:rPr>
          <w:color w:val="6E6158"/>
        </w:rPr>
        <w:t>Former Co-Chair, Education Sub-Committee, Insolvency Law Committee, California </w:t>
      </w:r>
      <w:r>
        <w:rPr>
          <w:color w:val="6E6158"/>
        </w:rPr>
        <w:t>Lawyers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13"/>
        <w:ind w:right="1558"/>
      </w:pPr>
      <w:r>
        <w:rPr>
          <w:color w:val="6E6158"/>
        </w:rPr>
        <w:t>Former Board Member and Pupilage Leader, James King Bankruptcy Inn of </w:t>
      </w:r>
      <w:r>
        <w:rPr>
          <w:color w:val="6E6158"/>
        </w:rPr>
        <w:t>Court Former Chair, DEI Strategic Committee, Junior League of San Diego</w:t>
      </w:r>
    </w:p>
    <w:p>
      <w:pPr>
        <w:pStyle w:val="BodyText"/>
        <w:spacing w:line="420" w:lineRule="auto" w:before="6"/>
        <w:ind w:right="664"/>
      </w:pPr>
      <w:r>
        <w:rPr>
          <w:color w:val="6E6158"/>
        </w:rPr>
        <w:t>Former Co-Chair, Diversity Committee, Business Law Section — California Lawyers </w:t>
      </w:r>
      <w:r>
        <w:rPr>
          <w:color w:val="6E6158"/>
        </w:rPr>
        <w:t>Association Former Chair, Diversity Celebration Sub-Committee, Los Angeles Bankruptcy Forum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8353"/>
      </w:pPr>
      <w:r>
        <w:rPr>
          <w:color w:val="6E6158"/>
          <w:spacing w:val="-2"/>
        </w:rPr>
        <w:t>California </w:t>
      </w:r>
      <w:r>
        <w:rPr>
          <w:color w:val="6E6158"/>
        </w:rPr>
        <w:t>New York</w:t>
      </w:r>
    </w:p>
    <w:p>
      <w:pPr>
        <w:pStyle w:val="BodyText"/>
        <w:spacing w:before="6"/>
      </w:pP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Jersey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Southern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kmihelic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 Mihelic - Fennemore</dc:title>
  <dcterms:created xsi:type="dcterms:W3CDTF">2026-06-12T09:33:04Z</dcterms:created>
  <dcterms:modified xsi:type="dcterms:W3CDTF">2026-06-12T09:33:04Z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