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EIGH MCGOUG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48840" y="763308"/>
                            <a:ext cx="142240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LEIGH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MCGOUGH</w:t>
                              </w:r>
                            </w:p>
                            <w:p>
                              <w:pPr>
                                <w:spacing w:before="39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619.344.2971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54052" y="2500373"/>
                            <a:ext cx="1612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lmcgough@fennemorelaw.com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LEIGH MCGOUGH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97;top:-3887;width:2240;height:1731" type="#_x0000_t202" id="docshape6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LEIGH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MCGOUGH</w:t>
                        </w:r>
                      </w:p>
                      <w:p>
                        <w:pPr>
                          <w:spacing w:before="39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619.344.2971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248;top:-1151;width:253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lmcgough@fennemorelaw.com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LEIGH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MCGOUGH</w:t>
      </w:r>
    </w:p>
    <w:p>
      <w:pPr>
        <w:pStyle w:val="BodyText"/>
        <w:spacing w:line="302" w:lineRule="auto" w:before="146"/>
        <w:ind w:left="99" w:right="319"/>
      </w:pPr>
      <w:r>
        <w:rPr>
          <w:color w:val="6E6158"/>
        </w:rPr>
        <w:t>Leigh McGough is an adept attorney with comprehensive experience across various sectors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including</w:t>
      </w:r>
      <w:r>
        <w:rPr>
          <w:color w:val="6E6158"/>
          <w:spacing w:val="29"/>
        </w:rPr>
        <w:t> </w:t>
      </w:r>
      <w:r>
        <w:rPr>
          <w:color w:val="6E6158"/>
        </w:rPr>
        <w:t>commercial</w:t>
      </w:r>
      <w:r>
        <w:rPr>
          <w:color w:val="6E6158"/>
          <w:spacing w:val="29"/>
        </w:rPr>
        <w:t> </w:t>
      </w:r>
      <w:r>
        <w:rPr>
          <w:color w:val="6E6158"/>
        </w:rPr>
        <w:t>transactions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has</w:t>
      </w:r>
      <w:r>
        <w:rPr>
          <w:color w:val="6E6158"/>
          <w:spacing w:val="29"/>
        </w:rPr>
        <w:t> </w:t>
      </w:r>
      <w:r>
        <w:rPr>
          <w:color w:val="6E6158"/>
        </w:rPr>
        <w:t>handled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wide</w:t>
      </w:r>
      <w:r>
        <w:rPr>
          <w:color w:val="6E6158"/>
          <w:spacing w:val="29"/>
        </w:rPr>
        <w:t> </w:t>
      </w:r>
      <w:r>
        <w:rPr>
          <w:color w:val="6E6158"/>
        </w:rPr>
        <w:t>array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transactions,</w:t>
      </w:r>
      <w:r>
        <w:rPr>
          <w:color w:val="6E6158"/>
          <w:spacing w:val="15"/>
        </w:rPr>
        <w:t> </w:t>
      </w:r>
      <w:r>
        <w:rPr>
          <w:color w:val="6E6158"/>
        </w:rPr>
        <w:t>demonstrating</w:t>
      </w:r>
      <w:r>
        <w:rPr>
          <w:color w:val="6E6158"/>
          <w:spacing w:val="16"/>
        </w:rPr>
        <w:t> </w:t>
      </w:r>
      <w:r>
        <w:rPr>
          <w:color w:val="6E6158"/>
        </w:rPr>
        <w:t>an</w:t>
      </w:r>
      <w:r>
        <w:rPr>
          <w:color w:val="6E6158"/>
          <w:spacing w:val="16"/>
        </w:rPr>
        <w:t> </w:t>
      </w:r>
      <w:r>
        <w:rPr>
          <w:color w:val="6E6158"/>
        </w:rPr>
        <w:t>understanding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dynamics</w:t>
      </w:r>
      <w:r>
        <w:rPr>
          <w:color w:val="6E6158"/>
          <w:spacing w:val="16"/>
        </w:rPr>
        <w:t> </w:t>
      </w:r>
      <w:r>
        <w:rPr>
          <w:color w:val="6E6158"/>
        </w:rPr>
        <w:t>involved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negotiating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leases,</w:t>
      </w:r>
    </w:p>
    <w:p>
      <w:pPr>
        <w:pStyle w:val="BodyText"/>
        <w:spacing w:line="295" w:lineRule="auto" w:before="52"/>
        <w:ind w:left="99" w:right="236"/>
      </w:pPr>
      <w:r>
        <w:rPr>
          <w:color w:val="6E6158"/>
        </w:rPr>
        <w:t>subleases, amendments, license agreements, easement agreements, and more. Her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extends to advising on the intricate aspects of subordination agreements and estoppels,</w:t>
      </w:r>
      <w:r>
        <w:rPr>
          <w:color w:val="6E6158"/>
          <w:spacing w:val="40"/>
        </w:rPr>
        <w:t> </w:t>
      </w:r>
      <w:r>
        <w:rPr>
          <w:color w:val="6E6158"/>
        </w:rPr>
        <w:t>underlining her capacity to manage complex legal documents and contracts that guide</w:t>
      </w:r>
      <w:r>
        <w:rPr>
          <w:color w:val="6E6158"/>
          <w:spacing w:val="40"/>
        </w:rPr>
        <w:t> </w:t>
      </w:r>
      <w:r>
        <w:rPr>
          <w:color w:val="6E6158"/>
        </w:rPr>
        <w:t>commercial operations and property dealings.</w:t>
      </w:r>
    </w:p>
    <w:p>
      <w:pPr>
        <w:pStyle w:val="BodyText"/>
        <w:spacing w:line="295" w:lineRule="auto" w:before="197"/>
        <w:ind w:left="99" w:right="236"/>
      </w:pPr>
      <w:r>
        <w:rPr>
          <w:color w:val="6E6158"/>
        </w:rPr>
        <w:t>Additionally,</w:t>
      </w:r>
      <w:r>
        <w:rPr>
          <w:color w:val="6E6158"/>
          <w:spacing w:val="34"/>
        </w:rPr>
        <w:t> </w:t>
      </w:r>
      <w:r>
        <w:rPr>
          <w:color w:val="6E6158"/>
        </w:rPr>
        <w:t>Leigh’s</w:t>
      </w:r>
      <w:r>
        <w:rPr>
          <w:color w:val="6E6158"/>
          <w:spacing w:val="34"/>
        </w:rPr>
        <w:t> </w:t>
      </w:r>
      <w:r>
        <w:rPr>
          <w:color w:val="6E6158"/>
        </w:rPr>
        <w:t>background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real</w:t>
      </w:r>
      <w:r>
        <w:rPr>
          <w:color w:val="6E6158"/>
          <w:spacing w:val="34"/>
        </w:rPr>
        <w:t> </w:t>
      </w:r>
      <w:r>
        <w:rPr>
          <w:color w:val="6E6158"/>
        </w:rPr>
        <w:t>estate</w:t>
      </w:r>
      <w:r>
        <w:rPr>
          <w:color w:val="6E6158"/>
          <w:spacing w:val="34"/>
        </w:rPr>
        <w:t> </w:t>
      </w:r>
      <w:r>
        <w:rPr>
          <w:color w:val="6E6158"/>
        </w:rPr>
        <w:t>law</w:t>
      </w:r>
      <w:r>
        <w:rPr>
          <w:color w:val="6E6158"/>
          <w:spacing w:val="34"/>
        </w:rPr>
        <w:t> </w:t>
      </w:r>
      <w:r>
        <w:rPr>
          <w:color w:val="6E6158"/>
        </w:rPr>
        <w:t>encompasses</w:t>
      </w:r>
      <w:r>
        <w:rPr>
          <w:color w:val="6E6158"/>
          <w:spacing w:val="34"/>
        </w:rPr>
        <w:t> </w:t>
      </w:r>
      <w:r>
        <w:rPr>
          <w:color w:val="6E6158"/>
        </w:rPr>
        <w:t>serving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lead</w:t>
      </w:r>
      <w:r>
        <w:rPr>
          <w:color w:val="6E6158"/>
          <w:spacing w:val="34"/>
        </w:rPr>
        <w:t> </w:t>
      </w:r>
      <w:r>
        <w:rPr>
          <w:color w:val="6E6158"/>
        </w:rPr>
        <w:t>project attorney for various transactions, including those for a national big-box retailer, emphasizing </w:t>
      </w:r>
      <w:r>
        <w:rPr>
          <w:color w:val="6E6158"/>
        </w:rPr>
        <w:t>her ability to lead and manage large teams through the entire process of acquisition, leasing, and</w:t>
      </w:r>
      <w:r>
        <w:rPr>
          <w:color w:val="6E6158"/>
          <w:spacing w:val="40"/>
        </w:rPr>
        <w:t> </w:t>
      </w:r>
      <w:r>
        <w:rPr>
          <w:color w:val="6E6158"/>
        </w:rPr>
        <w:t>development. Her knowledge in conducting due diligence reviews of title and environmental</w:t>
      </w:r>
      <w:r>
        <w:rPr>
          <w:color w:val="6E6158"/>
          <w:spacing w:val="40"/>
        </w:rPr>
        <w:t> </w:t>
      </w:r>
      <w:r>
        <w:rPr>
          <w:color w:val="6E6158"/>
        </w:rPr>
        <w:t>data to identify risks and recommend mitigation measures further showcases her proactive</w:t>
      </w:r>
      <w:r>
        <w:rPr>
          <w:color w:val="6E6158"/>
          <w:spacing w:val="40"/>
        </w:rPr>
        <w:t> </w:t>
      </w:r>
      <w:r>
        <w:rPr>
          <w:color w:val="6E6158"/>
        </w:rPr>
        <w:t>approach in handling legal challenges across different spectrums of the law.</w:t>
      </w:r>
    </w:p>
    <w:p>
      <w:pPr>
        <w:pStyle w:val="Heading1"/>
        <w:spacing w:before="167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Oklahoma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MBA,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Pepperdine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Texas,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Austin</w:t>
      </w:r>
    </w:p>
    <w:p>
      <w:pPr>
        <w:pStyle w:val="BodyText"/>
        <w:spacing w:before="17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sectPr>
      <w:type w:val="continuous"/>
      <w:pgSz w:w="12240" w:h="15840"/>
      <w:pgMar w:top="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lmcgough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McGough - Fennemore</dc:title>
  <dcterms:created xsi:type="dcterms:W3CDTF">2026-06-05T13:03:10Z</dcterms:created>
  <dcterms:modified xsi:type="dcterms:W3CDTF">2026-06-05T13:03:10Z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