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 Leavit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7112" y="1369338"/>
                            <a:ext cx="187071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710" h="320675">
                                <a:moveTo>
                                  <a:pt x="187057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70570" y="320382"/>
                                </a:lnTo>
                                <a:lnTo>
                                  <a:pt x="1870570" y="315214"/>
                                </a:lnTo>
                                <a:close/>
                              </a:path>
                              <a:path w="1870710" h="320675">
                                <a:moveTo>
                                  <a:pt x="1870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70570" y="5168"/>
                                </a:lnTo>
                                <a:lnTo>
                                  <a:pt x="1870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7118" y="763308"/>
                            <a:ext cx="188595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LINDSAY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LEAVITT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368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8941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9001" y="2226505"/>
                            <a:ext cx="14224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lleavitt@fennemorelaw.com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Lindsay Leavitt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32;top:-2501;width:2946;height:505" id="docshape5" coordorigin="7032,-2500" coordsize="2946,505" path="m9978,-2004l7032,-2004,7032,-1996,9978,-1996,9978,-2004xm9978,-2500l7032,-2500,7032,-2492,9978,-2492,9978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32;top:-3455;width:2970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LINDSAY</w:t>
                        </w:r>
                        <w:r>
                          <w:rPr>
                            <w:color w:val="FFFFFF"/>
                            <w:spacing w:val="-1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LEAVITT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4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602.916.5342</w:t>
                        </w:r>
                      </w:p>
                    </w:txbxContent>
                  </v:textbox>
                  <w10:wrap type="none"/>
                </v:shape>
                <v:shape style="position:absolute;left:872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97;top:-1151;width:224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lleavitt@fennemorelaw.com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LINDSAY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LEAVITT</w:t>
      </w:r>
    </w:p>
    <w:p>
      <w:pPr>
        <w:pStyle w:val="BodyText"/>
        <w:spacing w:line="297" w:lineRule="auto" w:before="147"/>
      </w:pPr>
      <w:r>
        <w:rPr>
          <w:color w:val="6E6158"/>
        </w:rPr>
        <w:t>Lindsay</w:t>
      </w:r>
      <w:r>
        <w:rPr>
          <w:color w:val="6E6158"/>
          <w:spacing w:val="32"/>
        </w:rPr>
        <w:t> </w:t>
      </w:r>
      <w:r>
        <w:rPr>
          <w:color w:val="6E6158"/>
        </w:rPr>
        <w:t>G.</w:t>
      </w:r>
      <w:r>
        <w:rPr>
          <w:color w:val="6E6158"/>
          <w:spacing w:val="32"/>
        </w:rPr>
        <w:t> </w:t>
      </w:r>
      <w:r>
        <w:rPr>
          <w:color w:val="6E6158"/>
        </w:rPr>
        <w:t>Leavitt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Director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group,</w:t>
      </w:r>
      <w:r>
        <w:rPr>
          <w:color w:val="6E6158"/>
          <w:spacing w:val="32"/>
        </w:rPr>
        <w:t> </w:t>
      </w:r>
      <w:r>
        <w:rPr>
          <w:color w:val="6E6158"/>
        </w:rPr>
        <w:t>representing and</w:t>
      </w:r>
      <w:r>
        <w:rPr>
          <w:color w:val="6E6158"/>
          <w:spacing w:val="31"/>
        </w:rPr>
        <w:t> </w:t>
      </w:r>
      <w:r>
        <w:rPr>
          <w:color w:val="6E6158"/>
        </w:rPr>
        <w:t>advising</w:t>
      </w:r>
      <w:r>
        <w:rPr>
          <w:color w:val="6E6158"/>
          <w:spacing w:val="31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sizes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employment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matters.</w:t>
      </w:r>
      <w:r>
        <w:rPr>
          <w:color w:val="6E6158"/>
          <w:spacing w:val="31"/>
        </w:rPr>
        <w:t> </w:t>
      </w:r>
      <w:r>
        <w:rPr>
          <w:color w:val="6E6158"/>
        </w:rPr>
        <w:t>Lindsay believes that hiring a litigator should be viewed as a business investment, and he strives to get his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good</w:t>
      </w:r>
      <w:r>
        <w:rPr>
          <w:color w:val="6E6158"/>
          <w:spacing w:val="23"/>
        </w:rPr>
        <w:t> </w:t>
      </w:r>
      <w:r>
        <w:rPr>
          <w:color w:val="6E6158"/>
        </w:rPr>
        <w:t>return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their</w:t>
      </w:r>
      <w:r>
        <w:rPr>
          <w:color w:val="6E6158"/>
          <w:spacing w:val="23"/>
        </w:rPr>
        <w:t> </w:t>
      </w:r>
      <w:r>
        <w:rPr>
          <w:color w:val="6E6158"/>
        </w:rPr>
        <w:t>investment.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valued</w:t>
      </w:r>
      <w:r>
        <w:rPr>
          <w:color w:val="6E6158"/>
          <w:spacing w:val="23"/>
        </w:rPr>
        <w:t> </w:t>
      </w:r>
      <w:r>
        <w:rPr>
          <w:color w:val="6E6158"/>
        </w:rPr>
        <w:t>by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aggressive,</w:t>
      </w:r>
      <w:r>
        <w:rPr>
          <w:color w:val="6E6158"/>
          <w:spacing w:val="23"/>
        </w:rPr>
        <w:t> </w:t>
      </w:r>
      <w:r>
        <w:rPr>
          <w:color w:val="6E6158"/>
        </w:rPr>
        <w:t>yet practical</w:t>
      </w:r>
      <w:r>
        <w:rPr>
          <w:color w:val="6E6158"/>
          <w:spacing w:val="27"/>
        </w:rPr>
        <w:t> </w:t>
      </w:r>
      <w:r>
        <w:rPr>
          <w:color w:val="6E6158"/>
        </w:rPr>
        <w:t>approach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resolving</w:t>
      </w:r>
      <w:r>
        <w:rPr>
          <w:color w:val="6E6158"/>
          <w:spacing w:val="27"/>
        </w:rPr>
        <w:t> </w:t>
      </w:r>
      <w:r>
        <w:rPr>
          <w:color w:val="6E6158"/>
        </w:rPr>
        <w:t>their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disputes,</w:t>
      </w:r>
      <w:r>
        <w:rPr>
          <w:color w:val="6E6158"/>
          <w:spacing w:val="27"/>
        </w:rPr>
        <w:t> </w:t>
      </w:r>
      <w:r>
        <w:rPr>
          <w:color w:val="6E6158"/>
        </w:rPr>
        <w:t>many</w:t>
      </w:r>
      <w:r>
        <w:rPr>
          <w:color w:val="6E6158"/>
          <w:spacing w:val="27"/>
        </w:rPr>
        <w:t> </w:t>
      </w:r>
      <w:r>
        <w:rPr>
          <w:color w:val="6E6158"/>
        </w:rPr>
        <w:t>times</w:t>
      </w:r>
      <w:r>
        <w:rPr>
          <w:color w:val="6E6158"/>
          <w:spacing w:val="27"/>
        </w:rPr>
        <w:t> </w:t>
      </w:r>
      <w:r>
        <w:rPr>
          <w:color w:val="6E6158"/>
        </w:rPr>
        <w:t>before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lawsuit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even</w:t>
      </w:r>
      <w:r>
        <w:rPr>
          <w:color w:val="6E6158"/>
          <w:spacing w:val="27"/>
        </w:rPr>
        <w:t> </w:t>
      </w:r>
      <w:r>
        <w:rPr>
          <w:color w:val="6E6158"/>
        </w:rPr>
        <w:t>filed.</w:t>
      </w:r>
    </w:p>
    <w:p>
      <w:pPr>
        <w:pStyle w:val="BodyText"/>
        <w:spacing w:line="292" w:lineRule="auto"/>
        <w:ind w:right="733" w:firstLine="54"/>
      </w:pPr>
      <w:r>
        <w:rPr>
          <w:color w:val="6E6158"/>
        </w:rPr>
        <w:t>When there is no other option, however, he has prevailed in matters ranging from garden-variety employment disputes to high-stakes, bet-the-company cases.</w:t>
      </w:r>
    </w:p>
    <w:p>
      <w:pPr>
        <w:pStyle w:val="BodyText"/>
        <w:spacing w:line="295" w:lineRule="auto" w:before="193"/>
        <w:ind w:right="495"/>
      </w:pPr>
      <w:r>
        <w:rPr>
          <w:color w:val="6E6158"/>
        </w:rPr>
        <w:t>Lindsay’s practice includes commercial and real estate litigation, where he has successfully</w:t>
      </w:r>
      <w:r>
        <w:rPr>
          <w:color w:val="6E6158"/>
          <w:spacing w:val="40"/>
        </w:rPr>
        <w:t> </w:t>
      </w:r>
      <w:r>
        <w:rPr>
          <w:color w:val="6E6158"/>
        </w:rPr>
        <w:t>represented hotel purchasers in fraudulent misrepresentation and failure-to-disclose lawsuits,</w:t>
      </w:r>
      <w:r>
        <w:rPr>
          <w:color w:val="6E6158"/>
          <w:spacing w:val="40"/>
        </w:rPr>
        <w:t> </w:t>
      </w:r>
      <w:r>
        <w:rPr>
          <w:color w:val="6E6158"/>
        </w:rPr>
        <w:t>secured summary judgment in seven-figure contract disputes, and achieved dismissals in</w:t>
      </w:r>
      <w:r>
        <w:rPr>
          <w:color w:val="6E6158"/>
          <w:spacing w:val="40"/>
        </w:rPr>
        <w:t> </w:t>
      </w:r>
      <w:r>
        <w:rPr>
          <w:color w:val="6E6158"/>
        </w:rPr>
        <w:t>multimillion-dollar class actions. He often represents commercial buyers and sellers in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arising</w:t>
      </w:r>
      <w:r>
        <w:rPr>
          <w:color w:val="6E6158"/>
          <w:spacing w:val="37"/>
        </w:rPr>
        <w:t> </w:t>
      </w:r>
      <w:r>
        <w:rPr>
          <w:color w:val="6E6158"/>
        </w:rPr>
        <w:t>from</w:t>
      </w:r>
      <w:r>
        <w:rPr>
          <w:color w:val="6E6158"/>
          <w:spacing w:val="37"/>
        </w:rPr>
        <w:t> </w:t>
      </w:r>
      <w:r>
        <w:rPr>
          <w:color w:val="6E6158"/>
        </w:rPr>
        <w:t>purchase</w:t>
      </w:r>
      <w:r>
        <w:rPr>
          <w:color w:val="6E6158"/>
          <w:spacing w:val="37"/>
        </w:rPr>
        <w:t> </w:t>
      </w:r>
      <w:r>
        <w:rPr>
          <w:color w:val="6E6158"/>
        </w:rPr>
        <w:t>agreements,</w:t>
      </w:r>
      <w:r>
        <w:rPr>
          <w:color w:val="6E6158"/>
          <w:spacing w:val="37"/>
        </w:rPr>
        <w:t> </w:t>
      </w:r>
      <w:r>
        <w:rPr>
          <w:color w:val="6E6158"/>
        </w:rPr>
        <w:t>advises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landlords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tenants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leasing</w:t>
      </w:r>
    </w:p>
    <w:p>
      <w:pPr>
        <w:pStyle w:val="BodyText"/>
        <w:spacing w:line="292" w:lineRule="auto" w:before="7"/>
        <w:ind w:right="733"/>
      </w:pPr>
      <w:r>
        <w:rPr>
          <w:color w:val="6E6158"/>
        </w:rPr>
        <w:t>conflicts, and has obtained favorable verdicts and resolutions for clients in a wide variety of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 matters.</w:t>
      </w:r>
    </w:p>
    <w:p>
      <w:pPr>
        <w:pStyle w:val="BodyText"/>
        <w:spacing w:line="292" w:lineRule="auto" w:before="197"/>
      </w:pPr>
      <w:r>
        <w:rPr>
          <w:color w:val="6E6158"/>
        </w:rPr>
        <w:t>Many business owners and operators rely on Lindsay to provide counsel and representation in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matters,</w:t>
      </w:r>
      <w:r>
        <w:rPr>
          <w:color w:val="6E6158"/>
          <w:spacing w:val="25"/>
        </w:rPr>
        <w:t> </w:t>
      </w:r>
      <w:r>
        <w:rPr>
          <w:color w:val="6E6158"/>
        </w:rPr>
        <w:t>including</w:t>
      </w:r>
      <w:r>
        <w:rPr>
          <w:color w:val="6E6158"/>
          <w:spacing w:val="25"/>
        </w:rPr>
        <w:t> </w:t>
      </w:r>
      <w:r>
        <w:rPr>
          <w:color w:val="6E6158"/>
        </w:rPr>
        <w:t>restrictive</w:t>
      </w:r>
      <w:r>
        <w:rPr>
          <w:color w:val="6E6158"/>
          <w:spacing w:val="25"/>
        </w:rPr>
        <w:t> </w:t>
      </w:r>
      <w:r>
        <w:rPr>
          <w:color w:val="6E6158"/>
        </w:rPr>
        <w:t>covenants,</w:t>
      </w:r>
      <w:r>
        <w:rPr>
          <w:color w:val="6E6158"/>
          <w:spacing w:val="25"/>
        </w:rPr>
        <w:t> </w:t>
      </w:r>
      <w:r>
        <w:rPr>
          <w:color w:val="6E6158"/>
        </w:rPr>
        <w:t>handbooks,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severance</w:t>
      </w:r>
      <w:r>
        <w:rPr>
          <w:color w:val="6E6158"/>
          <w:spacing w:val="25"/>
        </w:rPr>
        <w:t> </w:t>
      </w:r>
      <w:r>
        <w:rPr>
          <w:color w:val="6E6158"/>
        </w:rPr>
        <w:t>agreements.</w:t>
      </w:r>
    </w:p>
    <w:p>
      <w:pPr>
        <w:pStyle w:val="BodyText"/>
        <w:spacing w:before="9"/>
      </w:pP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also</w:t>
      </w:r>
      <w:r>
        <w:rPr>
          <w:color w:val="6E6158"/>
          <w:spacing w:val="14"/>
        </w:rPr>
        <w:t> </w:t>
      </w:r>
      <w:r>
        <w:rPr>
          <w:color w:val="6E6158"/>
        </w:rPr>
        <w:t>defends</w:t>
      </w:r>
      <w:r>
        <w:rPr>
          <w:color w:val="6E6158"/>
          <w:spacing w:val="14"/>
        </w:rPr>
        <w:t> </w:t>
      </w:r>
      <w:r>
        <w:rPr>
          <w:color w:val="6E6158"/>
        </w:rPr>
        <w:t>employers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administrative</w:t>
      </w:r>
      <w:r>
        <w:rPr>
          <w:color w:val="6E6158"/>
          <w:spacing w:val="15"/>
        </w:rPr>
        <w:t> </w:t>
      </w:r>
      <w:r>
        <w:rPr>
          <w:color w:val="6E6158"/>
        </w:rPr>
        <w:t>proceedings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right="413"/>
      </w:pPr>
      <w:r>
        <w:rPr>
          <w:color w:val="6E6158"/>
        </w:rPr>
        <w:t>discrimination, harassment, and wage and hour issues. He regularly represents executives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high-level employees in severance negotiations.</w:t>
      </w:r>
    </w:p>
    <w:p>
      <w:pPr>
        <w:pStyle w:val="BodyText"/>
        <w:spacing w:line="295" w:lineRule="auto" w:before="205"/>
        <w:ind w:right="413"/>
      </w:pPr>
      <w:r>
        <w:rPr>
          <w:color w:val="6E6158"/>
        </w:rPr>
        <w:t>A strong advocate for the hospitality industry, Lindsay has defended more than 400 hotels and</w:t>
      </w:r>
      <w:r>
        <w:rPr>
          <w:color w:val="6E6158"/>
          <w:spacing w:val="40"/>
        </w:rPr>
        <w:t> </w:t>
      </w:r>
      <w:r>
        <w:rPr>
          <w:color w:val="6E6158"/>
        </w:rPr>
        <w:t>resorts throughout the U.S. in claims brought under the Americans with Disabilities Act (ADA). His</w:t>
      </w:r>
      <w:r>
        <w:rPr>
          <w:color w:val="6E6158"/>
          <w:spacing w:val="40"/>
        </w:rPr>
        <w:t> </w:t>
      </w:r>
      <w:r>
        <w:rPr>
          <w:color w:val="6E6158"/>
        </w:rPr>
        <w:t>clients include owner-operators, hotel management companies, and some of the largest</w:t>
      </w:r>
      <w:r>
        <w:rPr>
          <w:color w:val="6E6158"/>
          <w:spacing w:val="40"/>
        </w:rPr>
        <w:t> </w:t>
      </w:r>
      <w:r>
        <w:rPr>
          <w:color w:val="6E6158"/>
        </w:rPr>
        <w:t>hospitality companies in the world. He is often asked to consult with legislators and industry</w:t>
      </w:r>
      <w:r>
        <w:rPr>
          <w:color w:val="6E6158"/>
          <w:spacing w:val="80"/>
        </w:rPr>
        <w:t> </w:t>
      </w:r>
      <w:r>
        <w:rPr>
          <w:color w:val="6E6158"/>
        </w:rPr>
        <w:t>groups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ADA-related</w:t>
      </w:r>
      <w:r>
        <w:rPr>
          <w:color w:val="6E6158"/>
          <w:spacing w:val="34"/>
        </w:rPr>
        <w:t> </w:t>
      </w:r>
      <w:r>
        <w:rPr>
          <w:color w:val="6E6158"/>
        </w:rPr>
        <w:t>legislation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frequently</w:t>
      </w:r>
      <w:r>
        <w:rPr>
          <w:color w:val="6E6158"/>
          <w:spacing w:val="34"/>
        </w:rPr>
        <w:t> </w:t>
      </w:r>
      <w:r>
        <w:rPr>
          <w:color w:val="6E6158"/>
        </w:rPr>
        <w:t>speaks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ADA</w:t>
      </w:r>
      <w:r>
        <w:rPr>
          <w:color w:val="6E6158"/>
          <w:spacing w:val="34"/>
        </w:rPr>
        <w:t> </w:t>
      </w:r>
      <w:r>
        <w:rPr>
          <w:color w:val="6E6158"/>
        </w:rPr>
        <w:t>compliance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defense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strategies.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733"/>
      </w:pPr>
      <w:r>
        <w:rPr>
          <w:color w:val="6E6158"/>
        </w:rPr>
        <w:t>Lindsay also serves as outside counsel to some of Arizona’s largest credit unions, </w:t>
      </w:r>
      <w:r>
        <w:rPr>
          <w:color w:val="6E6158"/>
        </w:rPr>
        <w:t>providing advice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representation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vendor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creditor’s</w:t>
      </w:r>
      <w:r>
        <w:rPr>
          <w:color w:val="6E6158"/>
          <w:spacing w:val="40"/>
        </w:rPr>
        <w:t> </w:t>
      </w:r>
      <w:r>
        <w:rPr>
          <w:color w:val="6E6158"/>
        </w:rPr>
        <w:t>rights,</w:t>
      </w:r>
    </w:p>
    <w:p>
      <w:pPr>
        <w:pStyle w:val="BodyText"/>
        <w:spacing w:before="9"/>
      </w:pPr>
      <w:r>
        <w:rPr>
          <w:color w:val="6E6158"/>
        </w:rPr>
        <w:t>employment,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2616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B.Ed., University of Alberta</w:t>
      </w:r>
    </w:p>
    <w:p>
      <w:pPr>
        <w:spacing w:before="29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BodyText"/>
        <w:spacing w:line="420" w:lineRule="auto"/>
        <w:ind w:right="6634"/>
      </w:pPr>
      <w:r>
        <w:rPr>
          <w:color w:val="6E6158"/>
        </w:rPr>
        <w:t>Hotel and Hospitality General Counsel </w:t>
      </w:r>
      <w:r>
        <w:rPr>
          <w:color w:val="6E6158"/>
        </w:rPr>
        <w:t>Services Credit Unions</w:t>
      </w:r>
    </w:p>
    <w:p>
      <w:pPr>
        <w:pStyle w:val="BodyText"/>
        <w:spacing w:line="231" w:lineRule="exact"/>
      </w:pPr>
      <w:r>
        <w:rPr>
          <w:color w:val="6E6158"/>
        </w:rPr>
        <w:t>ADA</w:t>
      </w:r>
      <w:r>
        <w:rPr>
          <w:color w:val="6E6158"/>
          <w:spacing w:val="6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Accessibility</w:t>
      </w:r>
    </w:p>
    <w:p>
      <w:pPr>
        <w:pStyle w:val="BodyText"/>
        <w:spacing w:before="71"/>
        <w:ind w:left="0"/>
      </w:pPr>
    </w:p>
    <w:p>
      <w:pPr>
        <w:pStyle w:val="BodyText"/>
        <w:spacing w:line="420" w:lineRule="auto"/>
        <w:ind w:right="7147"/>
      </w:pPr>
      <w:r>
        <w:rPr>
          <w:color w:val="6E6158"/>
        </w:rPr>
        <w:t>Business Litigation Labor &amp; Employment ADA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Accessibility</w:t>
      </w:r>
    </w:p>
    <w:p>
      <w:pPr>
        <w:pStyle w:val="Heading2"/>
        <w:spacing w:before="28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163"/>
      </w:pPr>
      <w:r>
        <w:rPr>
          <w:color w:val="6E6158"/>
        </w:rPr>
        <w:t>Successfully</w:t>
      </w:r>
      <w:r>
        <w:rPr>
          <w:color w:val="6E6158"/>
          <w:spacing w:val="22"/>
        </w:rPr>
        <w:t> </w:t>
      </w:r>
      <w:r>
        <w:rPr>
          <w:color w:val="6E6158"/>
        </w:rPr>
        <w:t>represented</w:t>
      </w:r>
      <w:r>
        <w:rPr>
          <w:color w:val="6E6158"/>
          <w:spacing w:val="22"/>
        </w:rPr>
        <w:t> </w:t>
      </w:r>
      <w:r>
        <w:rPr>
          <w:color w:val="6E6158"/>
        </w:rPr>
        <w:t>multiple</w:t>
      </w:r>
      <w:r>
        <w:rPr>
          <w:color w:val="6E6158"/>
          <w:spacing w:val="22"/>
        </w:rPr>
        <w:t> </w:t>
      </w:r>
      <w:r>
        <w:rPr>
          <w:color w:val="6E6158"/>
        </w:rPr>
        <w:t>hotel</w:t>
      </w:r>
      <w:r>
        <w:rPr>
          <w:color w:val="6E6158"/>
          <w:spacing w:val="22"/>
        </w:rPr>
        <w:t> </w:t>
      </w:r>
      <w:r>
        <w:rPr>
          <w:color w:val="6E6158"/>
        </w:rPr>
        <w:t>purchasers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fraudulent</w:t>
      </w:r>
      <w:r>
        <w:rPr>
          <w:color w:val="6E6158"/>
          <w:spacing w:val="22"/>
        </w:rPr>
        <w:t> </w:t>
      </w:r>
      <w:r>
        <w:rPr>
          <w:color w:val="6E6158"/>
        </w:rPr>
        <w:t>misrepresentation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failure-</w:t>
      </w:r>
      <w:r>
        <w:rPr>
          <w:color w:val="6E6158"/>
        </w:rPr>
        <w:t>to-disclose lawsuits against the sellers.</w:t>
      </w:r>
    </w:p>
    <w:p>
      <w:pPr>
        <w:pStyle w:val="BodyText"/>
        <w:spacing w:line="292" w:lineRule="auto" w:before="112"/>
        <w:ind w:right="413"/>
      </w:pPr>
      <w:r>
        <w:rPr>
          <w:color w:val="6E6158"/>
        </w:rPr>
        <w:t>Defeated a commercial tenant’s multi-year attempt to exercise purchase options pursuant to a</w:t>
      </w:r>
      <w:r>
        <w:rPr>
          <w:color w:val="6E6158"/>
          <w:spacing w:val="40"/>
        </w:rPr>
        <w:t> </w:t>
      </w:r>
      <w:r>
        <w:rPr>
          <w:color w:val="6E6158"/>
        </w:rPr>
        <w:t>lease that it was in default under.</w:t>
      </w:r>
    </w:p>
    <w:p>
      <w:pPr>
        <w:pStyle w:val="BodyText"/>
        <w:spacing w:line="292" w:lineRule="auto" w:before="132"/>
        <w:ind w:right="163"/>
      </w:pPr>
      <w:r>
        <w:rPr>
          <w:color w:val="6E6158"/>
        </w:rPr>
        <w:t>Obtained summary judgment on behalf of an actuary whose seven-figure consulting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was improperly terminated.</w:t>
      </w:r>
    </w:p>
    <w:p>
      <w:pPr>
        <w:pStyle w:val="BodyText"/>
        <w:spacing w:line="292" w:lineRule="auto" w:before="123"/>
        <w:ind w:right="239"/>
      </w:pPr>
      <w:r>
        <w:rPr>
          <w:color w:val="6E6158"/>
        </w:rPr>
        <w:t>Achieved</w:t>
      </w:r>
      <w:r>
        <w:rPr>
          <w:color w:val="6E6158"/>
          <w:spacing w:val="27"/>
        </w:rPr>
        <w:t> </w:t>
      </w:r>
      <w:r>
        <w:rPr>
          <w:color w:val="6E6158"/>
        </w:rPr>
        <w:t>full</w:t>
      </w:r>
      <w:r>
        <w:rPr>
          <w:color w:val="6E6158"/>
          <w:spacing w:val="27"/>
        </w:rPr>
        <w:t> </w:t>
      </w:r>
      <w:r>
        <w:rPr>
          <w:color w:val="6E6158"/>
        </w:rPr>
        <w:t>dismissal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claims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medical</w:t>
      </w:r>
      <w:r>
        <w:rPr>
          <w:color w:val="6E6158"/>
          <w:spacing w:val="27"/>
        </w:rPr>
        <w:t> </w:t>
      </w:r>
      <w:r>
        <w:rPr>
          <w:color w:val="6E6158"/>
        </w:rPr>
        <w:t>marijuana</w:t>
      </w:r>
      <w:r>
        <w:rPr>
          <w:color w:val="6E6158"/>
          <w:spacing w:val="27"/>
        </w:rPr>
        <w:t> </w:t>
      </w:r>
      <w:r>
        <w:rPr>
          <w:color w:val="6E6158"/>
        </w:rPr>
        <w:t>dispensary</w:t>
      </w:r>
      <w:r>
        <w:rPr>
          <w:color w:val="6E6158"/>
          <w:spacing w:val="27"/>
        </w:rPr>
        <w:t> </w:t>
      </w:r>
      <w:r>
        <w:rPr>
          <w:color w:val="6E6158"/>
        </w:rPr>
        <w:t>against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$30</w:t>
      </w:r>
      <w:r>
        <w:rPr>
          <w:color w:val="6E6158"/>
          <w:spacing w:val="27"/>
        </w:rPr>
        <w:t> </w:t>
      </w:r>
      <w:r>
        <w:rPr>
          <w:color w:val="6E6158"/>
        </w:rPr>
        <w:t>million+ class</w:t>
      </w:r>
      <w:r>
        <w:rPr>
          <w:color w:val="6E6158"/>
          <w:spacing w:val="13"/>
        </w:rPr>
        <w:t> </w:t>
      </w:r>
      <w:r>
        <w:rPr>
          <w:color w:val="6E6158"/>
        </w:rPr>
        <w:t>action</w:t>
      </w:r>
      <w:r>
        <w:rPr>
          <w:color w:val="6E6158"/>
          <w:spacing w:val="13"/>
        </w:rPr>
        <w:t> </w:t>
      </w:r>
      <w:r>
        <w:rPr>
          <w:color w:val="6E6158"/>
        </w:rPr>
        <w:t>lawsuit</w:t>
      </w:r>
      <w:r>
        <w:rPr>
          <w:color w:val="6E6158"/>
          <w:spacing w:val="13"/>
        </w:rPr>
        <w:t> </w:t>
      </w:r>
      <w:r>
        <w:rPr>
          <w:color w:val="6E6158"/>
        </w:rPr>
        <w:t>alleging</w:t>
      </w:r>
      <w:r>
        <w:rPr>
          <w:color w:val="6E6158"/>
          <w:spacing w:val="13"/>
        </w:rPr>
        <w:t> </w:t>
      </w:r>
      <w:r>
        <w:rPr>
          <w:color w:val="6E6158"/>
        </w:rPr>
        <w:t>violations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Accurate</w:t>
      </w:r>
      <w:r>
        <w:rPr>
          <w:color w:val="6E6158"/>
          <w:spacing w:val="13"/>
        </w:rPr>
        <w:t> </w:t>
      </w:r>
      <w:r>
        <w:rPr>
          <w:color w:val="6E6158"/>
        </w:rPr>
        <w:t>Credit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3"/>
        </w:rPr>
        <w:t> </w:t>
      </w:r>
      <w:r>
        <w:rPr>
          <w:color w:val="6E6158"/>
        </w:rPr>
        <w:t>Act</w:t>
      </w:r>
      <w:r>
        <w:rPr>
          <w:color w:val="6E6158"/>
          <w:spacing w:val="13"/>
        </w:rPr>
        <w:t> </w:t>
      </w:r>
      <w:r>
        <w:rPr>
          <w:color w:val="6E6158"/>
        </w:rPr>
        <w:t>(FACTA).</w:t>
      </w:r>
    </w:p>
    <w:p>
      <w:pPr>
        <w:pStyle w:val="BodyText"/>
        <w:spacing w:line="292" w:lineRule="auto" w:before="132"/>
        <w:ind w:right="495"/>
      </w:pPr>
      <w:r>
        <w:rPr>
          <w:color w:val="6E6158"/>
        </w:rPr>
        <w:t>Obtained a full dismissal on summary judgment and was awarded his attorneys’ fees on behalf</w:t>
      </w:r>
      <w:r>
        <w:rPr>
          <w:color w:val="6E6158"/>
          <w:spacing w:val="80"/>
        </w:rPr>
        <w:t> </w:t>
      </w:r>
      <w:r>
        <w:rPr>
          <w:color w:val="6E6158"/>
        </w:rPr>
        <w:t>of a small business in a bet-the-company breach of contract case with alleged damages</w:t>
      </w:r>
      <w:r>
        <w:rPr>
          <w:color w:val="6E6158"/>
          <w:spacing w:val="40"/>
        </w:rPr>
        <w:t> </w:t>
      </w:r>
      <w:r>
        <w:rPr>
          <w:color w:val="6E6158"/>
        </w:rPr>
        <w:t>exceeding $4 million.</w:t>
      </w:r>
    </w:p>
    <w:p>
      <w:pPr>
        <w:pStyle w:val="BodyText"/>
        <w:spacing w:line="302" w:lineRule="auto" w:before="123"/>
        <w:ind w:right="413"/>
      </w:pPr>
      <w:r>
        <w:rPr>
          <w:color w:val="6E6158"/>
        </w:rPr>
        <w:t>Obtained a full defense verdict on behalf of a commercial landlord that was sued by its tenant</w:t>
      </w:r>
      <w:r>
        <w:rPr>
          <w:color w:val="6E6158"/>
          <w:spacing w:val="40"/>
        </w:rPr>
        <w:t> </w:t>
      </w:r>
      <w:r>
        <w:rPr>
          <w:color w:val="6E6158"/>
        </w:rPr>
        <w:t>for a material breach of the lease agreement.</w:t>
      </w:r>
    </w:p>
    <w:p>
      <w:pPr>
        <w:pStyle w:val="BodyText"/>
        <w:spacing w:line="292" w:lineRule="auto" w:before="113"/>
        <w:ind w:right="192"/>
        <w:jc w:val="both"/>
      </w:pPr>
      <w:r>
        <w:rPr>
          <w:color w:val="6E6158"/>
        </w:rPr>
        <w:t>Represented an independently-owned pharmacy against its commercial landlord for breach </w:t>
      </w:r>
      <w:r>
        <w:rPr>
          <w:color w:val="6E6158"/>
        </w:rPr>
        <w:t>of the lease and wrongful eviction. The case was settled on the eve of trial for an amount that was</w:t>
      </w:r>
      <w:r>
        <w:rPr>
          <w:color w:val="6E6158"/>
          <w:spacing w:val="80"/>
        </w:rPr>
        <w:t> </w:t>
      </w:r>
      <w:r>
        <w:rPr>
          <w:color w:val="6E6158"/>
        </w:rPr>
        <w:t>5x higher than the landlord’s previous offer to the pharmacy.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Phoenix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0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0"/>
        </w:rPr>
        <w:t> </w:t>
      </w:r>
      <w:r>
        <w:rPr>
          <w:color w:val="6E6158"/>
        </w:rPr>
        <w:t>40</w:t>
      </w:r>
      <w:r>
        <w:rPr>
          <w:color w:val="6E6158"/>
          <w:spacing w:val="11"/>
        </w:rPr>
        <w:t> </w:t>
      </w:r>
      <w:r>
        <w:rPr>
          <w:color w:val="6E6158"/>
        </w:rPr>
        <w:t>Awards,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  <w:ind w:right="303"/>
      </w:pPr>
      <w:r>
        <w:rPr>
          <w:color w:val="6E6158"/>
        </w:rPr>
        <w:t>Best Lawyers in America®, Commercial Litigation, 2024-2026; Employment Law –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2024-2026</w:t>
      </w:r>
    </w:p>
    <w:p>
      <w:pPr>
        <w:pStyle w:val="BodyText"/>
        <w:spacing w:line="292" w:lineRule="auto" w:before="131"/>
        <w:ind w:right="733"/>
      </w:pPr>
      <w:r>
        <w:rPr>
          <w:color w:val="6E6158"/>
        </w:rPr>
        <w:t>Southwest Super Lawyers Rising Stars®, Business Litigation, 2019-2024; Civil Rights, </w:t>
      </w:r>
      <w:r>
        <w:rPr>
          <w:color w:val="6E6158"/>
        </w:rPr>
        <w:t>2022; Employment Law,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95"/>
      </w:pPr>
      <w:r>
        <w:rPr>
          <w:color w:val="6E6158"/>
        </w:rPr>
        <w:t>Interview, “</w:t>
      </w:r>
      <w:hyperlink r:id="rId11">
        <w:r>
          <w:rPr>
            <w:color w:val="F5821F"/>
          </w:rPr>
          <w:t>Local Learning Lab: The Legal Necessities: Building Trust for Local Businesses</w:t>
        </w:r>
      </w:hyperlink>
      <w:r>
        <w:rPr>
          <w:color w:val="6E6158"/>
        </w:rPr>
        <w:t>,” </w:t>
      </w:r>
      <w:r>
        <w:rPr>
          <w:color w:val="6E6158"/>
        </w:rPr>
        <w:t>Local</w:t>
      </w:r>
      <w:r>
        <w:rPr>
          <w:color w:val="6E6158"/>
          <w:spacing w:val="40"/>
        </w:rPr>
        <w:t> </w:t>
      </w:r>
      <w:r>
        <w:rPr>
          <w:color w:val="6E6158"/>
        </w:rPr>
        <w:t>First Arizona Podcast, December 3, 2024</w:t>
      </w:r>
    </w:p>
    <w:p>
      <w:pPr>
        <w:pStyle w:val="BodyText"/>
        <w:spacing w:line="292" w:lineRule="auto" w:before="131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Unpaid Wages, Compensation, and Tips, Oh My! Three Legal Issues Employers Need to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Know</w:t>
        </w:r>
      </w:hyperlink>
      <w:r>
        <w:rPr>
          <w:color w:val="6E6158"/>
        </w:rPr>
        <w:t>,” Greater Phoenix InBusiness Magazine, November 1, 2024</w:t>
      </w:r>
    </w:p>
    <w:p>
      <w:pPr>
        <w:pStyle w:val="BodyText"/>
        <w:spacing w:line="292" w:lineRule="auto" w:before="124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Three Employment Law Issues That Business Owners Should Understand: Q&amp;A With </w:t>
        </w:r>
        <w:r>
          <w:rPr>
            <w:color w:val="F5821F"/>
          </w:rPr>
          <w:t>an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Employment Law Attorney</w:t>
        </w:r>
      </w:hyperlink>
      <w:r>
        <w:rPr>
          <w:color w:val="6E6158"/>
        </w:rPr>
        <w:t>,” Phoenix Business Journal, September 4, 2024</w:t>
      </w:r>
    </w:p>
    <w:p>
      <w:pPr>
        <w:pStyle w:val="BodyText"/>
        <w:spacing w:line="292" w:lineRule="auto" w:before="131"/>
        <w:ind w:right="495"/>
      </w:pPr>
      <w:r>
        <w:rPr>
          <w:color w:val="6E6158"/>
        </w:rPr>
        <w:t>Presenter, “</w:t>
      </w:r>
      <w:hyperlink r:id="rId14">
        <w:r>
          <w:rPr>
            <w:color w:val="F5821F"/>
          </w:rPr>
          <w:t>How to Avoid the Top Three Legal Pitfalls in Business</w:t>
        </w:r>
      </w:hyperlink>
      <w:r>
        <w:rPr>
          <w:color w:val="6E6158"/>
        </w:rPr>
        <w:t>,” Local First Arizona, August 21,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23"/>
        <w:ind w:right="495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Two Employment Issues That Every Employer Should Know</w:t>
        </w:r>
      </w:hyperlink>
      <w:r>
        <w:rPr>
          <w:color w:val="6E6158"/>
        </w:rPr>
        <w:t>,” AZ Big Media, August </w:t>
      </w:r>
      <w:r>
        <w:rPr>
          <w:color w:val="6E6158"/>
        </w:rPr>
        <w:t>15, </w:t>
      </w:r>
      <w:r>
        <w:rPr>
          <w:color w:val="6E6158"/>
          <w:spacing w:val="-4"/>
        </w:rPr>
        <w:t>2024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Mexico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leavitt@fennemorelaw.com" TargetMode="External"/><Relationship Id="rId11" Type="http://schemas.openxmlformats.org/officeDocument/2006/relationships/hyperlink" Target="https://www.youtube.com/watch?v=uv48Xt7uIzA&amp;t=2s" TargetMode="External"/><Relationship Id="rId12" Type="http://schemas.openxmlformats.org/officeDocument/2006/relationships/hyperlink" Target="https://inbusinessphx.com/legal-regulations/unpaid-wages-compensation-and-tips-oh-my" TargetMode="External"/><Relationship Id="rId13" Type="http://schemas.openxmlformats.org/officeDocument/2006/relationships/hyperlink" Target="https://www.bizjournals.com/phoenix/inno/stories/partner-content/2024/09/10/employment-law-issues-business-owners-attorney.html" TargetMode="External"/><Relationship Id="rId14" Type="http://schemas.openxmlformats.org/officeDocument/2006/relationships/hyperlink" Target="https://www.youtube.com/watch?time_continue=3&amp;v=NnvYDT3VM7Y&amp;embeds_referring_euri=https%3A%2F%2Fgknet.com%2F&amp;source_ve_path=Mjg2NjY" TargetMode="External"/><Relationship Id="rId15" Type="http://schemas.openxmlformats.org/officeDocument/2006/relationships/hyperlink" Target="https://azbigmedia.com/business/2-employment-law-issues-every-employer-should-kno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Leavitt - Fennemore</dc:title>
  <dcterms:created xsi:type="dcterms:W3CDTF">2026-06-12T09:32:13Z</dcterms:created>
  <dcterms:modified xsi:type="dcterms:W3CDTF">2026-06-12T09:32:13Z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