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Lindsey Morga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65024" y="763308"/>
                            <a:ext cx="119062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LINDSEY MORGAN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182212" y="2133494"/>
                            <a:ext cx="7556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Coeur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d’Alene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2738" y="2500373"/>
                            <a:ext cx="15151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lmorgan@fennemorelaw.com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NEW26 Lindsey Morgan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80;top:-3887;width:1875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LINDSEY MORGAN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22;top:-1729;width:1190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Coeur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d’Alene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208.956.0137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324;top:-1151;width:238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lmorgan@fennemorelaw.com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LINDSEY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MORGAN</w:t>
      </w:r>
    </w:p>
    <w:p>
      <w:pPr>
        <w:pStyle w:val="BodyText"/>
        <w:spacing w:line="295" w:lineRule="auto" w:before="146"/>
        <w:ind w:right="311"/>
      </w:pPr>
      <w:r>
        <w:rPr>
          <w:color w:val="6E6158"/>
        </w:rPr>
        <w:t>Lindsey Morgan is an Of Counsel Attorney in Fennemore’s Business Litigation practice group. She</w:t>
      </w:r>
      <w:r>
        <w:rPr>
          <w:color w:val="6E6158"/>
          <w:spacing w:val="40"/>
        </w:rPr>
        <w:t> </w:t>
      </w:r>
      <w:r>
        <w:rPr>
          <w:color w:val="6E6158"/>
        </w:rPr>
        <w:t>represents businesses, business owners, and industry participants in complex disputes, with a</w:t>
      </w:r>
      <w:r>
        <w:rPr>
          <w:color w:val="6E6158"/>
          <w:spacing w:val="40"/>
        </w:rPr>
        <w:t> </w:t>
      </w:r>
      <w:r>
        <w:rPr>
          <w:color w:val="6E6158"/>
        </w:rPr>
        <w:t>practice focused on ownership and control conflicts, commercial litigation, real estate and </w:t>
      </w:r>
      <w:r>
        <w:rPr>
          <w:color w:val="6E6158"/>
        </w:rPr>
        <w:t>land</w:t>
      </w:r>
      <w:r>
        <w:rPr>
          <w:color w:val="6E6158"/>
          <w:spacing w:val="40"/>
        </w:rPr>
        <w:t> </w:t>
      </w:r>
      <w:r>
        <w:rPr>
          <w:color w:val="6E6158"/>
        </w:rPr>
        <w:t>related disputes, insurance issues, and outside general counsel support. She regularly handles</w:t>
      </w:r>
      <w:r>
        <w:rPr>
          <w:color w:val="6E6158"/>
          <w:spacing w:val="40"/>
        </w:rPr>
        <w:t> </w:t>
      </w:r>
      <w:r>
        <w:rPr>
          <w:color w:val="6E6158"/>
        </w:rPr>
        <w:t>matters involving fiduciary duties, governance failures, professional liability, insurance coverage,</w:t>
      </w:r>
      <w:r>
        <w:rPr>
          <w:color w:val="6E6158"/>
          <w:spacing w:val="40"/>
        </w:rPr>
        <w:t> </w:t>
      </w:r>
      <w:r>
        <w:rPr>
          <w:color w:val="6E6158"/>
        </w:rPr>
        <w:t>and business breakups. Lindsey is a leader in Fennemore’s developing Forest Industry initiative,</w:t>
      </w:r>
      <w:r>
        <w:rPr>
          <w:color w:val="6E6158"/>
          <w:spacing w:val="40"/>
        </w:rPr>
        <w:t> </w:t>
      </w:r>
      <w:r>
        <w:rPr>
          <w:color w:val="6E6158"/>
        </w:rPr>
        <w:t>which helps timberland owners, forest products businesses, and other working forest economy</w:t>
      </w:r>
      <w:r>
        <w:rPr>
          <w:color w:val="6E6158"/>
          <w:spacing w:val="40"/>
        </w:rPr>
        <w:t> </w:t>
      </w:r>
      <w:r>
        <w:rPr>
          <w:color w:val="6E6158"/>
        </w:rPr>
        <w:t>participants protect land value, manage operational risk, and execute transactions across the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West.</w:t>
      </w:r>
    </w:p>
    <w:p>
      <w:pPr>
        <w:pStyle w:val="BodyText"/>
        <w:spacing w:line="295" w:lineRule="auto" w:before="205"/>
        <w:ind w:right="146"/>
      </w:pPr>
      <w:r>
        <w:rPr>
          <w:color w:val="6E6158"/>
        </w:rPr>
        <w:t>Prior to joining Fennemore, Lindsey litigated complex commercial matters in California and</w:t>
      </w:r>
      <w:r>
        <w:rPr>
          <w:color w:val="6E6158"/>
          <w:spacing w:val="40"/>
        </w:rPr>
        <w:t> </w:t>
      </w:r>
      <w:r>
        <w:rPr>
          <w:color w:val="6E6158"/>
        </w:rPr>
        <w:t>Washington and served as outside general counsel for closely held businesses and </w:t>
      </w:r>
      <w:r>
        <w:rPr>
          <w:color w:val="6E6158"/>
        </w:rPr>
        <w:t>professionals,</w:t>
      </w:r>
      <w:r>
        <w:rPr>
          <w:color w:val="6E6158"/>
          <w:spacing w:val="40"/>
        </w:rPr>
        <w:t> </w:t>
      </w:r>
      <w:r>
        <w:rPr>
          <w:color w:val="6E6158"/>
        </w:rPr>
        <w:t>advising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litigation</w:t>
      </w:r>
      <w:r>
        <w:rPr>
          <w:color w:val="6E6158"/>
          <w:spacing w:val="34"/>
        </w:rPr>
        <w:t> </w:t>
      </w:r>
      <w:r>
        <w:rPr>
          <w:color w:val="6E6158"/>
        </w:rPr>
        <w:t>risk,</w:t>
      </w:r>
      <w:r>
        <w:rPr>
          <w:color w:val="6E6158"/>
          <w:spacing w:val="34"/>
        </w:rPr>
        <w:t> </w:t>
      </w:r>
      <w:r>
        <w:rPr>
          <w:color w:val="6E6158"/>
        </w:rPr>
        <w:t>governance</w:t>
      </w:r>
      <w:r>
        <w:rPr>
          <w:color w:val="6E6158"/>
          <w:spacing w:val="34"/>
        </w:rPr>
        <w:t> </w:t>
      </w:r>
      <w:r>
        <w:rPr>
          <w:color w:val="6E6158"/>
        </w:rPr>
        <w:t>issues,</w:t>
      </w:r>
      <w:r>
        <w:rPr>
          <w:color w:val="6E6158"/>
          <w:spacing w:val="34"/>
        </w:rPr>
        <w:t> </w:t>
      </w:r>
      <w:r>
        <w:rPr>
          <w:color w:val="6E6158"/>
        </w:rPr>
        <w:t>contracts,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dispute</w:t>
      </w:r>
      <w:r>
        <w:rPr>
          <w:color w:val="6E6158"/>
          <w:spacing w:val="34"/>
        </w:rPr>
        <w:t> </w:t>
      </w:r>
      <w:r>
        <w:rPr>
          <w:color w:val="6E6158"/>
        </w:rPr>
        <w:t>avoidance.</w:t>
      </w:r>
      <w:r>
        <w:rPr>
          <w:color w:val="6E6158"/>
          <w:spacing w:val="34"/>
        </w:rPr>
        <w:t> </w:t>
      </w:r>
      <w:r>
        <w:rPr>
          <w:color w:val="6E6158"/>
        </w:rPr>
        <w:t>She</w:t>
      </w:r>
      <w:r>
        <w:rPr>
          <w:color w:val="6E6158"/>
          <w:spacing w:val="34"/>
        </w:rPr>
        <w:t> </w:t>
      </w:r>
      <w:r>
        <w:rPr>
          <w:color w:val="6E6158"/>
        </w:rPr>
        <w:t>has extensive experience representing insurers and insureds in insurance coverage litigation and</w:t>
      </w:r>
      <w:r>
        <w:rPr>
          <w:color w:val="6E6158"/>
          <w:spacing w:val="40"/>
        </w:rPr>
        <w:t> </w:t>
      </w:r>
      <w:r>
        <w:rPr>
          <w:color w:val="6E6158"/>
        </w:rPr>
        <w:t>defending real estate brokerages and their employees and agents in civil litigation. That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informs</w:t>
      </w:r>
      <w:r>
        <w:rPr>
          <w:color w:val="6E6158"/>
          <w:spacing w:val="35"/>
        </w:rPr>
        <w:t> </w:t>
      </w:r>
      <w:r>
        <w:rPr>
          <w:color w:val="6E6158"/>
        </w:rPr>
        <w:t>her</w:t>
      </w:r>
      <w:r>
        <w:rPr>
          <w:color w:val="6E6158"/>
          <w:spacing w:val="35"/>
        </w:rPr>
        <w:t> </w:t>
      </w:r>
      <w:r>
        <w:rPr>
          <w:color w:val="6E6158"/>
        </w:rPr>
        <w:t>approach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risk</w:t>
      </w:r>
      <w:r>
        <w:rPr>
          <w:color w:val="6E6158"/>
          <w:spacing w:val="35"/>
        </w:rPr>
        <w:t> </w:t>
      </w:r>
      <w:r>
        <w:rPr>
          <w:color w:val="6E6158"/>
        </w:rPr>
        <w:t>allocation,</w:t>
      </w:r>
      <w:r>
        <w:rPr>
          <w:color w:val="6E6158"/>
          <w:spacing w:val="35"/>
        </w:rPr>
        <w:t> </w:t>
      </w:r>
      <w:r>
        <w:rPr>
          <w:color w:val="6E6158"/>
        </w:rPr>
        <w:t>dispute</w:t>
      </w:r>
      <w:r>
        <w:rPr>
          <w:color w:val="6E6158"/>
          <w:spacing w:val="35"/>
        </w:rPr>
        <w:t> </w:t>
      </w:r>
      <w:r>
        <w:rPr>
          <w:color w:val="6E6158"/>
        </w:rPr>
        <w:t>prevention,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active</w:t>
      </w:r>
      <w:r>
        <w:rPr>
          <w:color w:val="6E6158"/>
          <w:spacing w:val="35"/>
        </w:rPr>
        <w:t> </w:t>
      </w:r>
      <w:r>
        <w:rPr>
          <w:color w:val="6E6158"/>
        </w:rPr>
        <w:t>litigation</w:t>
      </w:r>
    </w:p>
    <w:p>
      <w:pPr>
        <w:pStyle w:val="BodyText"/>
        <w:spacing w:line="231" w:lineRule="exact"/>
      </w:pPr>
      <w:r>
        <w:rPr>
          <w:color w:val="6E6158"/>
          <w:spacing w:val="-2"/>
        </w:rPr>
        <w:t>strategy.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311"/>
      </w:pPr>
      <w:r>
        <w:rPr>
          <w:color w:val="6E6158"/>
        </w:rPr>
        <w:t>Lindsey is admitted to practice in California, Washington, and Idaho. She is an active member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Rotary</w:t>
      </w:r>
      <w:r>
        <w:rPr>
          <w:color w:val="6E6158"/>
          <w:spacing w:val="27"/>
        </w:rPr>
        <w:t> </w:t>
      </w:r>
      <w:r>
        <w:rPr>
          <w:color w:val="6E6158"/>
        </w:rPr>
        <w:t>Club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Coeur</w:t>
      </w:r>
      <w:r>
        <w:rPr>
          <w:color w:val="6E6158"/>
          <w:spacing w:val="27"/>
        </w:rPr>
        <w:t> </w:t>
      </w:r>
      <w:r>
        <w:rPr>
          <w:color w:val="6E6158"/>
        </w:rPr>
        <w:t>d’Alene,</w:t>
      </w:r>
      <w:r>
        <w:rPr>
          <w:color w:val="6E6158"/>
          <w:spacing w:val="27"/>
        </w:rPr>
        <w:t> </w:t>
      </w:r>
      <w:r>
        <w:rPr>
          <w:color w:val="6E6158"/>
        </w:rPr>
        <w:t>where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serves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co-chair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grants</w:t>
      </w:r>
      <w:r>
        <w:rPr>
          <w:color w:val="6E6158"/>
          <w:spacing w:val="27"/>
        </w:rPr>
        <w:t> </w:t>
      </w:r>
      <w:r>
        <w:rPr>
          <w:color w:val="6E6158"/>
        </w:rPr>
        <w:t>committee.</w:t>
      </w:r>
    </w:p>
    <w:p>
      <w:pPr>
        <w:pStyle w:val="BodyText"/>
        <w:spacing w:before="1"/>
      </w:pPr>
      <w:r>
        <w:rPr>
          <w:color w:val="6E6158"/>
        </w:rPr>
        <w:t>Through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Idaho</w:t>
      </w:r>
      <w:r>
        <w:rPr>
          <w:color w:val="6E6158"/>
          <w:spacing w:val="12"/>
        </w:rPr>
        <w:t> </w:t>
      </w:r>
      <w:r>
        <w:rPr>
          <w:color w:val="6E6158"/>
        </w:rPr>
        <w:t>Academy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Leadership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Lawyers,</w:t>
      </w:r>
      <w:r>
        <w:rPr>
          <w:color w:val="6E6158"/>
          <w:spacing w:val="12"/>
        </w:rPr>
        <w:t> </w:t>
      </w:r>
      <w:r>
        <w:rPr>
          <w:color w:val="6E6158"/>
        </w:rPr>
        <w:t>she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also</w:t>
      </w:r>
      <w:r>
        <w:rPr>
          <w:color w:val="6E6158"/>
          <w:spacing w:val="12"/>
        </w:rPr>
        <w:t> </w:t>
      </w:r>
      <w:r>
        <w:rPr>
          <w:color w:val="6E6158"/>
        </w:rPr>
        <w:t>developing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Coeur</w:t>
      </w:r>
    </w:p>
    <w:p>
      <w:pPr>
        <w:pStyle w:val="BodyText"/>
        <w:spacing w:line="302" w:lineRule="auto" w:before="52"/>
      </w:pPr>
      <w:r>
        <w:rPr>
          <w:color w:val="6E6158"/>
        </w:rPr>
        <w:t>Foundations, an initiative that helps North Idaho nonprofits build strong legal and </w:t>
      </w:r>
      <w:r>
        <w:rPr>
          <w:color w:val="6E6158"/>
        </w:rPr>
        <w:t>governance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infrastructure.</w:t>
      </w:r>
    </w:p>
    <w:p>
      <w:pPr>
        <w:pStyle w:val="BodyText"/>
        <w:spacing w:line="292" w:lineRule="auto" w:before="186"/>
        <w:ind w:right="415"/>
      </w:pPr>
      <w:r>
        <w:rPr>
          <w:color w:val="6E6158"/>
        </w:rPr>
        <w:t>Outside of her practice, Lindsey enjoys CrossFit, golf, and gardening, and tries to keep up with</w:t>
      </w:r>
      <w:r>
        <w:rPr>
          <w:color w:val="6E6158"/>
          <w:spacing w:val="40"/>
        </w:rPr>
        <w:t> </w:t>
      </w:r>
      <w:r>
        <w:rPr>
          <w:color w:val="6E6158"/>
        </w:rPr>
        <w:t>her sons.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3585"/>
      </w:pPr>
      <w:r>
        <w:rPr>
          <w:color w:val="6E6158"/>
        </w:rPr>
        <w:t>J.D., University of Southern California Gould School of </w:t>
      </w:r>
      <w:r>
        <w:rPr>
          <w:color w:val="6E6158"/>
        </w:rPr>
        <w:t>Law</w:t>
      </w:r>
      <w:r>
        <w:rPr>
          <w:color w:val="6E6158"/>
        </w:rPr>
        <w:t> B.A., University of California, Los Angeles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883"/>
      </w:pPr>
      <w:r>
        <w:rPr>
          <w:color w:val="6E6158"/>
        </w:rPr>
        <w:t>Business Litigation</w:t>
      </w:r>
      <w:r>
        <w:rPr>
          <w:color w:val="6E6158"/>
          <w:spacing w:val="80"/>
        </w:rPr>
        <w:t> </w:t>
      </w:r>
      <w:r>
        <w:rPr>
          <w:color w:val="6E6158"/>
        </w:rPr>
        <w:t>General Counsel </w:t>
      </w:r>
      <w:r>
        <w:rPr>
          <w:color w:val="6E6158"/>
        </w:rPr>
        <w:t>Services</w:t>
      </w:r>
    </w:p>
    <w:p>
      <w:pPr>
        <w:pStyle w:val="Heading1"/>
        <w:spacing w:before="29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5" w:lineRule="auto"/>
        <w:ind w:right="311"/>
      </w:pPr>
      <w:r>
        <w:rPr>
          <w:color w:val="6E6158"/>
        </w:rPr>
        <w:t>Oversaw representation of a privately held company in its acquisition of an $8.6 million</w:t>
      </w:r>
      <w:r>
        <w:rPr>
          <w:color w:val="6E6158"/>
          <w:spacing w:val="40"/>
        </w:rPr>
        <w:t> </w:t>
      </w:r>
      <w:r>
        <w:rPr>
          <w:color w:val="6E6158"/>
        </w:rPr>
        <w:t>commercial property in Tucson, Arizona, including purchase agreement negotiation, title and</w:t>
      </w:r>
      <w:r>
        <w:rPr>
          <w:color w:val="6E6158"/>
          <w:spacing w:val="40"/>
        </w:rPr>
        <w:t> </w:t>
      </w:r>
      <w:r>
        <w:rPr>
          <w:color w:val="6E6158"/>
        </w:rPr>
        <w:t>survey review, escrow and closing coordination, and transaction management through </w:t>
      </w:r>
      <w:r>
        <w:rPr>
          <w:color w:val="6E6158"/>
        </w:rPr>
        <w:t>funding</w:t>
      </w:r>
      <w:r>
        <w:rPr>
          <w:color w:val="6E6158"/>
          <w:spacing w:val="40"/>
        </w:rPr>
        <w:t> </w:t>
      </w:r>
      <w:r>
        <w:rPr>
          <w:color w:val="6E6158"/>
        </w:rPr>
        <w:t>and recording.</w:t>
      </w:r>
    </w:p>
    <w:p>
      <w:pPr>
        <w:pStyle w:val="BodyText"/>
        <w:spacing w:before="124"/>
      </w:pP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timberland</w:t>
      </w:r>
      <w:r>
        <w:rPr>
          <w:color w:val="6E6158"/>
          <w:spacing w:val="12"/>
        </w:rPr>
        <w:t> </w:t>
      </w:r>
      <w:r>
        <w:rPr>
          <w:color w:val="6E6158"/>
        </w:rPr>
        <w:t>owner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quiet</w:t>
      </w:r>
      <w:r>
        <w:rPr>
          <w:color w:val="6E6158"/>
          <w:spacing w:val="12"/>
        </w:rPr>
        <w:t> </w:t>
      </w:r>
      <w:r>
        <w:rPr>
          <w:color w:val="6E6158"/>
        </w:rPr>
        <w:t>title</w:t>
      </w:r>
      <w:r>
        <w:rPr>
          <w:color w:val="6E6158"/>
          <w:spacing w:val="12"/>
        </w:rPr>
        <w:t> </w:t>
      </w:r>
      <w:r>
        <w:rPr>
          <w:color w:val="6E6158"/>
        </w:rPr>
        <w:t>action</w:t>
      </w:r>
      <w:r>
        <w:rPr>
          <w:color w:val="6E6158"/>
          <w:spacing w:val="12"/>
        </w:rPr>
        <w:t> </w:t>
      </w:r>
      <w:r>
        <w:rPr>
          <w:color w:val="6E6158"/>
        </w:rPr>
        <w:t>involving</w:t>
      </w:r>
      <w:r>
        <w:rPr>
          <w:color w:val="6E6158"/>
          <w:spacing w:val="12"/>
        </w:rPr>
        <w:t> </w:t>
      </w:r>
      <w:r>
        <w:rPr>
          <w:color w:val="6E6158"/>
        </w:rPr>
        <w:t>disputed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property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interests.</w:t>
      </w:r>
    </w:p>
    <w:p>
      <w:pPr>
        <w:pStyle w:val="BodyText"/>
        <w:spacing w:line="297" w:lineRule="auto" w:before="174"/>
      </w:pPr>
      <w:r>
        <w:rPr>
          <w:color w:val="6E6158"/>
        </w:rPr>
        <w:t>Acted as outside counsel to a forestry company and handled the preparation, review, and</w:t>
      </w:r>
      <w:r>
        <w:rPr>
          <w:color w:val="6E6158"/>
          <w:spacing w:val="40"/>
        </w:rPr>
        <w:t> </w:t>
      </w:r>
      <w:r>
        <w:rPr>
          <w:color w:val="6E6158"/>
        </w:rPr>
        <w:t>negotiation of commercial agreements supporting its ongoing operations, with an eye to </w:t>
      </w:r>
      <w:r>
        <w:rPr>
          <w:color w:val="6E6158"/>
        </w:rPr>
        <w:t>risk</w:t>
      </w:r>
      <w:r>
        <w:rPr>
          <w:color w:val="6E6158"/>
          <w:spacing w:val="40"/>
        </w:rPr>
        <w:t> </w:t>
      </w:r>
      <w:r>
        <w:rPr>
          <w:color w:val="6E6158"/>
        </w:rPr>
        <w:t>management and dispute avoidance.</w:t>
      </w:r>
    </w:p>
    <w:p>
      <w:pPr>
        <w:pStyle w:val="BodyText"/>
        <w:spacing w:line="292" w:lineRule="auto" w:before="118"/>
        <w:ind w:right="311"/>
      </w:pPr>
      <w:r>
        <w:rPr>
          <w:color w:val="6E6158"/>
        </w:rPr>
        <w:t>Represents clients in real estate and land related disputes, including matters involving </w:t>
      </w:r>
      <w:r>
        <w:rPr>
          <w:color w:val="6E6158"/>
        </w:rPr>
        <w:t>title, access, easements, and ownership rights.</w:t>
      </w:r>
    </w:p>
    <w:p>
      <w:pPr>
        <w:pStyle w:val="BodyText"/>
        <w:spacing w:line="297" w:lineRule="auto" w:before="123"/>
        <w:ind w:right="158"/>
      </w:pPr>
      <w:r>
        <w:rPr>
          <w:color w:val="6E6158"/>
        </w:rPr>
        <w:t>Represented national and regional real estate brokerages, insurance brokerages, and </w:t>
      </w:r>
      <w:r>
        <w:rPr>
          <w:color w:val="6E6158"/>
        </w:rPr>
        <w:t>individual</w:t>
      </w:r>
      <w:r>
        <w:rPr>
          <w:color w:val="6E6158"/>
          <w:spacing w:val="40"/>
        </w:rPr>
        <w:t> </w:t>
      </w:r>
      <w:r>
        <w:rPr>
          <w:color w:val="6E6158"/>
        </w:rPr>
        <w:t>professionals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high-exposure</w:t>
      </w:r>
      <w:r>
        <w:rPr>
          <w:color w:val="6E6158"/>
          <w:spacing w:val="38"/>
        </w:rPr>
        <w:t> </w:t>
      </w:r>
      <w:r>
        <w:rPr>
          <w:color w:val="6E6158"/>
        </w:rPr>
        <w:t>errors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omissions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professional</w:t>
      </w:r>
      <w:r>
        <w:rPr>
          <w:color w:val="6E6158"/>
          <w:spacing w:val="38"/>
        </w:rPr>
        <w:t> </w:t>
      </w:r>
      <w:r>
        <w:rPr>
          <w:color w:val="6E6158"/>
        </w:rPr>
        <w:t>liability</w:t>
      </w:r>
      <w:r>
        <w:rPr>
          <w:color w:val="6E6158"/>
          <w:spacing w:val="38"/>
        </w:rPr>
        <w:t> </w:t>
      </w:r>
      <w:r>
        <w:rPr>
          <w:color w:val="6E6158"/>
        </w:rPr>
        <w:t>matters,</w:t>
      </w:r>
      <w:r>
        <w:rPr>
          <w:color w:val="6E6158"/>
          <w:spacing w:val="38"/>
        </w:rPr>
        <w:t> </w:t>
      </w:r>
      <w:r>
        <w:rPr>
          <w:color w:val="6E6158"/>
        </w:rPr>
        <w:t>including pre-litigation risk assessment, coverage analysis, and trial defense.</w:t>
      </w:r>
    </w:p>
    <w:p>
      <w:pPr>
        <w:pStyle w:val="BodyText"/>
        <w:spacing w:line="292" w:lineRule="auto" w:before="118"/>
        <w:ind w:right="311"/>
      </w:pPr>
      <w:r>
        <w:rPr>
          <w:color w:val="6E6158"/>
        </w:rPr>
        <w:t>Defended corporate clients in multi-million-dollar commercial real estate disputes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complex causation, insurance allocation, and cross-jurisdictional issues.</w:t>
      </w:r>
    </w:p>
    <w:p>
      <w:pPr>
        <w:pStyle w:val="BodyText"/>
        <w:spacing w:line="292" w:lineRule="auto" w:before="131"/>
        <w:ind w:right="415"/>
      </w:pPr>
      <w:r>
        <w:rPr>
          <w:color w:val="6E6158"/>
        </w:rPr>
        <w:t>Served as defense counsel for a privately owned public utility in San Francisco, </w:t>
      </w:r>
      <w:r>
        <w:rPr>
          <w:color w:val="6E6158"/>
        </w:rPr>
        <w:t>managing dozens of coordinated property damage and personal injury claims.</w:t>
      </w:r>
    </w:p>
    <w:p>
      <w:pPr>
        <w:pStyle w:val="BodyText"/>
        <w:spacing w:line="302" w:lineRule="auto" w:before="124"/>
        <w:ind w:right="830"/>
      </w:pPr>
      <w:r>
        <w:rPr>
          <w:color w:val="6E6158"/>
        </w:rPr>
        <w:t>Obtained</w:t>
      </w:r>
      <w:r>
        <w:rPr>
          <w:color w:val="6E6158"/>
          <w:spacing w:val="13"/>
        </w:rPr>
        <w:t> </w:t>
      </w:r>
      <w:r>
        <w:rPr>
          <w:color w:val="6E6158"/>
        </w:rPr>
        <w:t>summary</w:t>
      </w:r>
      <w:r>
        <w:rPr>
          <w:color w:val="6E6158"/>
          <w:spacing w:val="13"/>
        </w:rPr>
        <w:t> </w:t>
      </w:r>
      <w:r>
        <w:rPr>
          <w:color w:val="6E6158"/>
        </w:rPr>
        <w:t>judgment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brokerage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its</w:t>
      </w:r>
      <w:r>
        <w:rPr>
          <w:color w:val="6E6158"/>
          <w:spacing w:val="13"/>
        </w:rPr>
        <w:t> </w:t>
      </w:r>
      <w:r>
        <w:rPr>
          <w:color w:val="6E6158"/>
        </w:rPr>
        <w:t>agent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non-disclosure action in Alameda County, California.</w:t>
      </w:r>
    </w:p>
    <w:p>
      <w:pPr>
        <w:pStyle w:val="BodyText"/>
        <w:spacing w:line="292" w:lineRule="auto" w:before="112"/>
        <w:ind w:right="311"/>
      </w:pPr>
      <w:r>
        <w:rPr>
          <w:color w:val="6E6158"/>
        </w:rPr>
        <w:t>Defended a corporate executive on appeal in a breach of contract action </w:t>
      </w:r>
      <w:r>
        <w:rPr>
          <w:color w:val="6E6158"/>
        </w:rPr>
        <w:t>involving international jurisdiction and enforcement of foreign judgments.</w:t>
      </w:r>
    </w:p>
    <w:p>
      <w:pPr>
        <w:pStyle w:val="BodyText"/>
        <w:spacing w:line="302" w:lineRule="auto" w:before="124"/>
        <w:ind w:right="623"/>
      </w:pP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brokerage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high-profile</w:t>
      </w:r>
      <w:r>
        <w:rPr>
          <w:color w:val="6E6158"/>
          <w:spacing w:val="14"/>
        </w:rPr>
        <w:t> </w:t>
      </w:r>
      <w:r>
        <w:rPr>
          <w:color w:val="6E6158"/>
        </w:rPr>
        <w:t>individual</w:t>
      </w:r>
      <w:r>
        <w:rPr>
          <w:color w:val="6E6158"/>
          <w:spacing w:val="14"/>
        </w:rPr>
        <w:t> </w:t>
      </w:r>
      <w:r>
        <w:rPr>
          <w:color w:val="6E6158"/>
        </w:rPr>
        <w:t>agent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multi-million-dollar commission dispute.</w:t>
      </w:r>
    </w:p>
    <w:p>
      <w:pPr>
        <w:pStyle w:val="BodyText"/>
        <w:spacing w:line="290" w:lineRule="auto" w:before="102"/>
        <w:ind w:right="206"/>
      </w:pPr>
      <w:r>
        <w:rPr>
          <w:color w:val="6E6158"/>
        </w:rPr>
        <w:t>Acted</w:t>
      </w:r>
      <w:r>
        <w:rPr>
          <w:color w:val="6E6158"/>
          <w:spacing w:val="-1"/>
        </w:rPr>
        <w:t> </w:t>
      </w:r>
      <w:r>
        <w:rPr>
          <w:color w:val="6E6158"/>
        </w:rPr>
        <w:t>as</w:t>
      </w:r>
      <w:r>
        <w:rPr>
          <w:color w:val="6E6158"/>
          <w:spacing w:val="-1"/>
        </w:rPr>
        <w:t> </w:t>
      </w:r>
      <w:r>
        <w:rPr>
          <w:color w:val="6E6158"/>
        </w:rPr>
        <w:t>liaison</w:t>
      </w:r>
      <w:r>
        <w:rPr>
          <w:color w:val="6E6158"/>
          <w:spacing w:val="-1"/>
        </w:rPr>
        <w:t> </w:t>
      </w:r>
      <w:r>
        <w:rPr>
          <w:color w:val="6E6158"/>
        </w:rPr>
        <w:t>counsel</w:t>
      </w:r>
      <w:r>
        <w:rPr>
          <w:color w:val="6E6158"/>
          <w:spacing w:val="-1"/>
        </w:rPr>
        <w:t> </w:t>
      </w:r>
      <w:r>
        <w:rPr>
          <w:color w:val="6E6158"/>
        </w:rPr>
        <w:t>for</w:t>
      </w:r>
      <w:r>
        <w:rPr>
          <w:color w:val="6E6158"/>
          <w:spacing w:val="-1"/>
        </w:rPr>
        <w:t> </w:t>
      </w:r>
      <w:r>
        <w:rPr>
          <w:color w:val="6E6158"/>
        </w:rPr>
        <w:t>insurer</w:t>
      </w:r>
      <w:r>
        <w:rPr>
          <w:color w:val="6E6158"/>
          <w:spacing w:val="-1"/>
        </w:rPr>
        <w:t> </w:t>
      </w:r>
      <w:r>
        <w:rPr>
          <w:color w:val="6E6158"/>
        </w:rPr>
        <w:t>defendants</w:t>
      </w:r>
      <w:r>
        <w:rPr>
          <w:color w:val="6E6158"/>
          <w:spacing w:val="-1"/>
        </w:rPr>
        <w:t> </w:t>
      </w:r>
      <w:r>
        <w:rPr>
          <w:color w:val="6E6158"/>
        </w:rPr>
        <w:t>in</w:t>
      </w:r>
      <w:r>
        <w:rPr>
          <w:color w:val="6E6158"/>
          <w:spacing w:val="-1"/>
        </w:rPr>
        <w:t> </w:t>
      </w:r>
      <w:r>
        <w:rPr>
          <w:i/>
          <w:color w:val="6E6158"/>
          <w:sz w:val="20"/>
        </w:rPr>
        <w:t>Montrose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Canadian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Universal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Co.,</w:t>
      </w:r>
      <w:r>
        <w:rPr>
          <w:i/>
          <w:color w:val="6E6158"/>
          <w:sz w:val="20"/>
        </w:rPr>
        <w:t> </w:t>
      </w:r>
      <w:r>
        <w:rPr>
          <w:color w:val="6E6158"/>
        </w:rPr>
        <w:t>a pollution allocation matter decided by the California Supreme Court addressing horizontal</w:t>
      </w:r>
      <w:r>
        <w:rPr>
          <w:color w:val="6E6158"/>
          <w:spacing w:val="40"/>
        </w:rPr>
        <w:t> </w:t>
      </w:r>
      <w:r>
        <w:rPr>
          <w:color w:val="6E6158"/>
        </w:rPr>
        <w:t>versus vertical allocation at the excess insurance level.</w:t>
      </w:r>
    </w:p>
    <w:p>
      <w:pPr>
        <w:pStyle w:val="BodyText"/>
        <w:spacing w:before="124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311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From Access to Advancement: Mentorship and Sponsorship for Women Lawyers </w:t>
        </w:r>
        <w:r>
          <w:rPr>
            <w:color w:val="F5821F"/>
          </w:rPr>
          <w:t>in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Idaho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by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Lindsey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A.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Morgan,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Kathleen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M.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Carr,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Alycia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Moss,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Catherine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Renshaw,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Katie</w:t>
        </w:r>
      </w:hyperlink>
    </w:p>
    <w:p>
      <w:pPr>
        <w:pStyle w:val="BodyText"/>
        <w:spacing w:before="2"/>
      </w:pPr>
      <w:hyperlink r:id="rId11">
        <w:r>
          <w:rPr>
            <w:color w:val="F5821F"/>
          </w:rPr>
          <w:t>Sheftic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Magazine,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8,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82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Read Before You Sign: What Forestland Owners Need to Know About Biomass, Biochar,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Carbon, and Other Forest Revenue Agreements</w:t>
        </w:r>
      </w:hyperlink>
      <w:r>
        <w:rPr>
          <w:color w:val="6E6158"/>
        </w:rPr>
        <w:t>,” Fennemore Blog, June 4, 2026</w:t>
      </w:r>
    </w:p>
    <w:p>
      <w:pPr>
        <w:pStyle w:val="BodyText"/>
        <w:spacing w:line="292" w:lineRule="auto" w:before="123"/>
        <w:ind w:right="146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Private Forest Landowners Face a Convergence of Legal and Business Risk</w:t>
        </w:r>
      </w:hyperlink>
      <w:r>
        <w:rPr>
          <w:color w:val="6E6158"/>
        </w:rPr>
        <w:t>,” Fennemore</w:t>
      </w:r>
      <w:r>
        <w:rPr>
          <w:color w:val="6E6158"/>
          <w:spacing w:val="40"/>
        </w:rPr>
        <w:t> </w:t>
      </w:r>
      <w:r>
        <w:rPr>
          <w:color w:val="6E6158"/>
        </w:rPr>
        <w:t>Blog, May 19, 2026</w:t>
      </w:r>
    </w:p>
    <w:p>
      <w:pPr>
        <w:pStyle w:val="BodyText"/>
        <w:spacing w:before="131"/>
      </w:pPr>
      <w:r>
        <w:rPr>
          <w:color w:val="6E6158"/>
        </w:rPr>
        <w:t>Guest</w:t>
      </w:r>
      <w:r>
        <w:rPr>
          <w:color w:val="6E6158"/>
          <w:spacing w:val="12"/>
        </w:rPr>
        <w:t> </w:t>
      </w:r>
      <w:r>
        <w:rPr>
          <w:color w:val="6E6158"/>
        </w:rPr>
        <w:t>Lecturer,</w:t>
      </w:r>
      <w:r>
        <w:rPr>
          <w:color w:val="6E6158"/>
          <w:spacing w:val="13"/>
        </w:rPr>
        <w:t> </w:t>
      </w:r>
      <w:r>
        <w:rPr>
          <w:color w:val="6E6158"/>
        </w:rPr>
        <w:t>“Legal</w:t>
      </w:r>
      <w:r>
        <w:rPr>
          <w:color w:val="6E6158"/>
          <w:spacing w:val="13"/>
        </w:rPr>
        <w:t> </w:t>
      </w:r>
      <w:r>
        <w:rPr>
          <w:color w:val="6E6158"/>
        </w:rPr>
        <w:t>Accountability,”</w:t>
      </w:r>
      <w:r>
        <w:rPr>
          <w:color w:val="6E6158"/>
          <w:spacing w:val="13"/>
        </w:rPr>
        <w:t> </w:t>
      </w:r>
      <w:r>
        <w:rPr>
          <w:color w:val="6E6158"/>
        </w:rPr>
        <w:t>North</w:t>
      </w:r>
      <w:r>
        <w:rPr>
          <w:color w:val="6E6158"/>
          <w:spacing w:val="13"/>
        </w:rPr>
        <w:t> </w:t>
      </w:r>
      <w:r>
        <w:rPr>
          <w:color w:val="6E6158"/>
        </w:rPr>
        <w:t>Idaho</w:t>
      </w:r>
      <w:r>
        <w:rPr>
          <w:color w:val="6E6158"/>
          <w:spacing w:val="13"/>
        </w:rPr>
        <w:t> </w:t>
      </w:r>
      <w:r>
        <w:rPr>
          <w:color w:val="6E6158"/>
        </w:rPr>
        <w:t>College</w:t>
      </w:r>
      <w:r>
        <w:rPr>
          <w:color w:val="6E6158"/>
          <w:spacing w:val="13"/>
        </w:rPr>
        <w:t> </w:t>
      </w:r>
      <w:r>
        <w:rPr>
          <w:color w:val="6E6158"/>
        </w:rPr>
        <w:t>Nursing</w:t>
      </w:r>
      <w:r>
        <w:rPr>
          <w:color w:val="6E6158"/>
          <w:spacing w:val="13"/>
        </w:rPr>
        <w:t> </w:t>
      </w:r>
      <w:r>
        <w:rPr>
          <w:color w:val="6E6158"/>
        </w:rPr>
        <w:t>Program,</w:t>
      </w:r>
      <w:r>
        <w:rPr>
          <w:color w:val="6E6158"/>
          <w:spacing w:val="13"/>
        </w:rPr>
        <w:t> </w:t>
      </w:r>
      <w:r>
        <w:rPr>
          <w:color w:val="6E6158"/>
        </w:rPr>
        <w:t>Feb.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Risk</w:t>
      </w:r>
      <w:r>
        <w:rPr>
          <w:color w:val="6E6158"/>
          <w:spacing w:val="9"/>
        </w:rPr>
        <w:t> </w:t>
      </w:r>
      <w:r>
        <w:rPr>
          <w:color w:val="6E6158"/>
        </w:rPr>
        <w:t>Management</w:t>
      </w:r>
      <w:r>
        <w:rPr>
          <w:color w:val="6E6158"/>
          <w:spacing w:val="9"/>
        </w:rPr>
        <w:t> </w:t>
      </w:r>
      <w:r>
        <w:rPr>
          <w:color w:val="6E6158"/>
        </w:rPr>
        <w:t>Seminar,</w:t>
      </w:r>
      <w:r>
        <w:rPr>
          <w:color w:val="6E6158"/>
          <w:spacing w:val="10"/>
        </w:rPr>
        <w:t> </w:t>
      </w:r>
      <w:r>
        <w:rPr>
          <w:color w:val="6E6158"/>
        </w:rPr>
        <w:t>Contra</w:t>
      </w:r>
      <w:r>
        <w:rPr>
          <w:color w:val="6E6158"/>
          <w:spacing w:val="9"/>
        </w:rPr>
        <w:t> </w:t>
      </w:r>
      <w:r>
        <w:rPr>
          <w:color w:val="6E6158"/>
        </w:rPr>
        <w:t>Costa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Realtor,</w:t>
      </w:r>
      <w:r>
        <w:rPr>
          <w:color w:val="6E6158"/>
          <w:spacing w:val="10"/>
        </w:rPr>
        <w:t> </w:t>
      </w:r>
      <w:r>
        <w:rPr>
          <w:color w:val="6E6158"/>
        </w:rPr>
        <w:t>2019-</w:t>
      </w:r>
      <w:r>
        <w:rPr>
          <w:color w:val="6E6158"/>
          <w:spacing w:val="-4"/>
        </w:rPr>
        <w:t>2020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1688"/>
      </w:pPr>
      <w:r>
        <w:rPr>
          <w:color w:val="6E6158"/>
        </w:rPr>
        <w:t>Member, 2025-2026 class of the Idaho Academy of Leadership for Lawyers </w:t>
      </w:r>
      <w:r>
        <w:rPr>
          <w:color w:val="6E6158"/>
        </w:rPr>
        <w:t>(IALL) Co-Chair, Grants Committee, Rotary Club of Coeur d’Alene</w:t>
      </w:r>
    </w:p>
    <w:p>
      <w:pPr>
        <w:pStyle w:val="BodyText"/>
        <w:spacing w:line="226" w:lineRule="exact"/>
      </w:pPr>
      <w:r>
        <w:rPr>
          <w:color w:val="6E6158"/>
        </w:rPr>
        <w:t>Member,</w:t>
      </w:r>
      <w:r>
        <w:rPr>
          <w:color w:val="6E6158"/>
          <w:spacing w:val="5"/>
        </w:rPr>
        <w:t> </w:t>
      </w:r>
      <w:r>
        <w:rPr>
          <w:color w:val="6E6158"/>
        </w:rPr>
        <w:t>Idaho</w:t>
      </w:r>
      <w:r>
        <w:rPr>
          <w:color w:val="6E6158"/>
          <w:spacing w:val="5"/>
        </w:rPr>
        <w:t> </w:t>
      </w:r>
      <w:r>
        <w:rPr>
          <w:color w:val="6E6158"/>
        </w:rPr>
        <w:t>Women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before="174"/>
      </w:pP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Magnet</w:t>
      </w:r>
      <w:r>
        <w:rPr>
          <w:color w:val="6E6158"/>
          <w:spacing w:val="14"/>
        </w:rPr>
        <w:t> </w:t>
      </w:r>
      <w:r>
        <w:rPr>
          <w:color w:val="6E6158"/>
        </w:rPr>
        <w:t>Committee,</w:t>
      </w:r>
      <w:r>
        <w:rPr>
          <w:color w:val="6E6158"/>
          <w:spacing w:val="13"/>
        </w:rPr>
        <w:t> </w:t>
      </w:r>
      <w:r>
        <w:rPr>
          <w:color w:val="6E6158"/>
        </w:rPr>
        <w:t>Sorensen</w:t>
      </w:r>
      <w:r>
        <w:rPr>
          <w:color w:val="6E6158"/>
          <w:spacing w:val="14"/>
        </w:rPr>
        <w:t> </w:t>
      </w:r>
      <w:r>
        <w:rPr>
          <w:color w:val="6E6158"/>
        </w:rPr>
        <w:t>Magnet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 w:before="1"/>
        <w:ind w:right="6061"/>
      </w:pPr>
      <w:r>
        <w:rPr>
          <w:color w:val="6E6158"/>
        </w:rPr>
        <w:t>Idaho (state and federal) California (state and federal) Washington (state and </w:t>
      </w:r>
      <w:r>
        <w:rPr>
          <w:color w:val="6E6158"/>
        </w:rPr>
        <w:t>federal) Ninth 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coeur-dalene/" TargetMode="External"/><Relationship Id="rId10" Type="http://schemas.openxmlformats.org/officeDocument/2006/relationships/hyperlink" Target="mailto:lmorgan@fennemorelaw.com" TargetMode="External"/><Relationship Id="rId11" Type="http://schemas.openxmlformats.org/officeDocument/2006/relationships/hyperlink" Target="https://isb.idaho.gov/blog/from-access-to-advancement-mentorship-and-sponsorship-for-women-lawyers-in-idaho-by-lindsey-a-morgan-kathleen-m-carr-alycia-moss-catherine-renshaw-and-katie-sheftic/" TargetMode="External"/><Relationship Id="rId12" Type="http://schemas.openxmlformats.org/officeDocument/2006/relationships/hyperlink" Target="https://www.fennemorelaw.com/read-before-you-sign-what-forestland-owners-need-to-know-about-biomass-biochar-carbon-and-other-forest-revenue-agreements/" TargetMode="External"/><Relationship Id="rId13" Type="http://schemas.openxmlformats.org/officeDocument/2006/relationships/hyperlink" Target="https://www.fennemorelaw.com/private-forest-landowners-face-a-convergence-of-legal-and-business-ris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Lindsey Morgan - Fennemore</dc:title>
  <dcterms:created xsi:type="dcterms:W3CDTF">2026-06-15T16:50:54Z</dcterms:created>
  <dcterms:modified xsi:type="dcterms:W3CDTF">2026-06-15T16:50:54Z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2026-06-15T00:00:00Z</vt:filetime>
  </property>
  <property fmtid="{D5CDD505-2E9C-101B-9397-08002B2CF9AE}" pid="6" name="Producer">
    <vt:lpwstr>Skia/PDF m149</vt:lpwstr>
  </property>
</Properties>
</file>